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39.png" ContentType="image/png"/>
  <Override PartName="/word/media/rId229.png" ContentType="image/png"/>
  <Override PartName="/word/media/rId251.png" ContentType="image/png"/>
  <Override PartName="/word/media/rId255.png" ContentType="image/png"/>
  <Override PartName="/word/media/rId211.gif" ContentType="image/gif"/>
  <Override PartName="/word/media/rId215.gif" ContentType="image/gif"/>
  <Override PartName="/word/media/rId220.png" ContentType="image/png"/>
  <Override PartName="/word/media/rId102.png" ContentType="image/png"/>
  <Override PartName="/word/media/rId137.png" ContentType="image/png"/>
  <Override PartName="/word/media/rId150.png" ContentType="image/png"/>
  <Override PartName="/word/media/rId97.png" ContentType="image/png"/>
  <Override PartName="/word/media/rId178.png" ContentType="image/png"/>
  <Override PartName="/word/media/rId159.png" ContentType="image/png"/>
  <Override PartName="/word/media/rId155.png" ContentType="image/png"/>
  <Override PartName="/word/media/rId171.png" ContentType="image/png"/>
  <Override PartName="/word/media/rId146.png" ContentType="image/png"/>
  <Override PartName="/word/media/rId185.png" ContentType="image/png"/>
  <Override PartName="/word/media/rId141.png" ContentType="image/png"/>
  <Override PartName="/word/media/rId167.png" ContentType="image/png"/>
  <Override PartName="/word/media/rId202.png" ContentType="image/png"/>
  <Override PartName="/word/media/rId206.png" ContentType="image/png"/>
  <Override PartName="/word/media/rId233.png" ContentType="image/png"/>
  <Override PartName="/word/media/rId329.png" ContentType="image/png"/>
  <Override PartName="/word/media/rId321.png" ContentType="image/png"/>
  <Override PartName="/word/media/rId343.png" ContentType="image/png"/>
  <Override PartName="/word/media/rId334.png" ContentType="image/png"/>
  <Override PartName="/word/media/rId33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99.png" ContentType="image/png"/>
  <Override PartName="/word/media/rId304.png" ContentType="image/png"/>
  <Override PartName="/word/media/rId266.gif" ContentType="image/gif"/>
  <Override PartName="/word/media/rId270.png" ContentType="image/png"/>
  <Override PartName="/word/media/rId292.png" ContentType="image/png"/>
  <Override PartName="/word/media/rId285.png" ContentType="image/png"/>
  <Override PartName="/word/media/rId3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9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84"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to imagine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64"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w:t>
      </w:r>
      <w:r>
        <w:t xml:space="preserve"> </w:t>
      </w:r>
      <w:hyperlink w:anchor="sec-identify">
        <w:r>
          <w:rPr>
            <w:rStyle w:val="Hyperlink"/>
          </w:rPr>
          <w:t xml:space="preserve">Section 2.3.2</w:t>
        </w:r>
      </w:hyperlink>
      <w:r>
        <w:t xml:space="preserve">).</w:t>
      </w:r>
    </w:p>
    <w:p>
      <w:pPr>
        <w:pStyle w:val="BodyText"/>
      </w:pPr>
      <w:r>
        <w:t xml:space="preserve">The human brain is wired to process and interpret visual information quickly, and data visualization leverages this natural ability to help us understand complex data more easily.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w:t>
      </w:r>
    </w:p>
    <w:p>
      <w:pPr>
        <w:pStyle w:val="BodyText"/>
      </w:pP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 We get a quick overview of</w:t>
      </w:r>
      <w:r>
        <w:t xml:space="preserve"> </w:t>
      </w:r>
      <w:r>
        <w:t xml:space="preserve">“what the data looks like,”</w:t>
      </w:r>
      <w:r>
        <w:t xml:space="preserve"> </w:t>
      </w:r>
      <w:r>
        <w:t xml:space="preserve">which helps us make more informed decisions about which advanced methods to use and how to interpret subsequent analyses.</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w:t>
      </w:r>
      <w:r>
        <w:t xml:space="preserve"> </w:t>
      </w:r>
      <w:hyperlink w:anchor="sec-stats">
        <w:r>
          <w:rPr>
            <w:rStyle w:val="Hyperlink"/>
          </w:rPr>
          <w:t xml:space="preserve">Section 3.5.3</w:t>
        </w:r>
      </w:hyperlink>
      <w:r>
        <w:t xml:space="preserve">).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"#CC0000"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"#CC0000"</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"#343A41"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"#CC0000"</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 plot</w:t>
            </w:r>
          </w:p>
          <w:bookmarkEnd w:id="117"/>
        </w:tc>
      </w:tr>
    </w:tbl>
    <w:p>
      <w:pPr>
        <w:numPr>
          <w:ilvl w:val="0"/>
          <w:numId w:val="1025"/>
        </w:numPr>
      </w:pPr>
      <w:r>
        <w:t xml:space="preserve">The box (IQR): The rectangular box captures the middle 50% of the data - what’s called the interquartile range (IQR, see</w:t>
      </w:r>
      <w:r>
        <w:t xml:space="preserve"> </w:t>
      </w:r>
      <w:hyperlink w:anchor="sec-outlier">
        <w:r>
          <w:rPr>
            <w:rStyle w:val="Hyperlink"/>
          </w:rPr>
          <w:t xml:space="preserve">Section 3.5.3.1.4</w:t>
        </w:r>
      </w:hyperlink>
      <w:r>
        <w:t xml:space="preserve">). In this chart, the bottom edge of the box is at 40, which is the 25th percentile (Q1), and the top edge is at 57, the 75th percentile (Q3). Because this box is reasonably large, it indicates there’s a moderate spread among the</w:t>
      </w:r>
      <w:r>
        <w:t xml:space="preserve"> </w:t>
      </w:r>
      <w:r>
        <w:t xml:space="preserve">“central”</w:t>
      </w:r>
      <w:r>
        <w:t xml:space="preserve"> </w:t>
      </w:r>
      <w:r>
        <w:t xml:space="preserve">half of the data (from ages 40 to 57).</w:t>
      </w:r>
    </w:p>
    <w:p>
      <w:pPr>
        <w:numPr>
          <w:ilvl w:val="0"/>
          <w:numId w:val="1025"/>
        </w:numPr>
      </w:pPr>
      <w:r>
        <w:t xml:space="preserve">Median line: The horizontal line inside the box is the median (Q2). Here, it sits at 49, roughly halfway between 40 and 57. Because the median is fairly centered between Q1 and Q3, we can see the central 50% of ages is split somewhat evenly above and below 49.</w:t>
      </w:r>
    </w:p>
    <w:p>
      <w:pPr>
        <w:numPr>
          <w:ilvl w:val="0"/>
          <w:numId w:val="1025"/>
        </w:numPr>
      </w:pPr>
      <w:r>
        <w:t xml:space="preserve">Whiskers: The</w:t>
      </w:r>
      <w:r>
        <w:t xml:space="preserve"> </w:t>
      </w:r>
      <w:r>
        <w:t xml:space="preserve">“whiskers”</w:t>
      </w:r>
      <w:r>
        <w:t xml:space="preserve"> </w:t>
      </w:r>
      <w:r>
        <w:t xml:space="preserve">are those lines extending above and below the box to show the minimum and maximum values that still fall within a typical cut-off (often 1.5 × IQR). In the figure, the lower whisker extends down to 22; the upper whisker extends up to 72. That means any data points above 72 or below 22 are treated as outliers (if they exist).</w:t>
      </w:r>
    </w:p>
    <w:p>
      <w:pPr>
        <w:numPr>
          <w:ilvl w:val="0"/>
          <w:numId w:val="1025"/>
        </w:numPr>
      </w:pPr>
      <w:r>
        <w:t xml:space="preserve">Outliers: Any data point lying outside these whisker boundaries is plotted individually - often as a separate dot or symbol. In this example, there is a single red dot at 13, clearly below the lower whisker. This dot is considered an outlier, meaning it sits well below the rest of the dataset.</w:t>
      </w:r>
    </w:p>
    <w:p>
      <w:pPr>
        <w:numPr>
          <w:ilvl w:val="0"/>
          <w:numId w:val="1025"/>
        </w:numPr>
      </w:pPr>
      <w:r>
        <w:t xml:space="preserve">Possible interpretations: The presence of this outlier at age 13 could be a legitimate value (e.g., an unusual case in your data) or might be a simple data entry error. Seeing only one lower outlier suggests that most ages cluster within 22 to 72, which you might interpret as a reasonably</w:t>
      </w:r>
      <w:r>
        <w:t xml:space="preserve"> </w:t>
      </w:r>
      <w:r>
        <w:t xml:space="preserve">“normal”</w:t>
      </w:r>
      <w:r>
        <w:t xml:space="preserve"> </w:t>
      </w:r>
      <w:r>
        <w:t xml:space="preserve">spread for a particular adult population - aside from that lone point at 13.</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displays categorical data in a circle divided into slices, each slice representing a portion of the whole. The entire circle equals 100% of the data, and each slice’s size corresponds to its category’s share. Pie charts are useful for quickly comparing the relative sizes of categories and spotting the largest or smallest groups.</w:t>
      </w:r>
    </w:p>
    <w:p>
      <w:pPr>
        <w:pStyle w:val="SourceCode"/>
      </w:pPr>
      <w:r>
        <w:rPr>
          <w:rStyle w:val="NormalTok"/>
        </w:rPr>
        <w:t xml:space="preserve">breaks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w:t>
      </w:r>
      <w:r>
        <w:br/>
      </w:r>
      <w:r>
        <w:rPr>
          <w:rStyle w:val="NormalTok"/>
        </w:rPr>
        <w:t xml:space="preserve">labels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head</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 "</w:t>
      </w:r>
      <w:r>
        <w:rPr>
          <w:rStyle w:val="NormalTok"/>
        </w:rPr>
        <w:t xml:space="preserve">, </w:t>
      </w:r>
      <w:r>
        <w:rPr>
          <w:rStyle w:val="FunctionTok"/>
        </w:rPr>
        <w:t xml:space="preserve">tail</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w:t>
      </w:r>
      <w:r>
        <w:rPr>
          <w:rStyle w:val="NormalTok"/>
        </w:rPr>
        <w:t xml:space="preserve">)</w:t>
      </w:r>
      <w:r>
        <w:br/>
      </w:r>
      <w:r>
        <w:br/>
      </w:r>
      <w:r>
        <w:rPr>
          <w:rStyle w:val="CommentTok"/>
        </w:rPr>
        <w:t xml:space="preserve"># Use cut with custom labels</w:t>
      </w:r>
      <w:r>
        <w:br/>
      </w: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AttributeTok"/>
        </w:rPr>
        <w:t xml:space="preserve">breaks =</w:t>
      </w:r>
      <w:r>
        <w:rPr>
          <w:rStyle w:val="NormalTok"/>
        </w:rPr>
        <w:t xml:space="preserve"> breaks, </w:t>
      </w:r>
      <w:r>
        <w:rPr>
          <w:rStyle w:val="AttributeTok"/>
        </w:rPr>
        <w:t xml:space="preserve">labels =</w:t>
      </w:r>
      <w:r>
        <w:rPr>
          <w:rStyle w:val="NormalTok"/>
        </w:rPr>
        <w:t xml:space="preserve"> labels,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 chart</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w:t>
      </w:r>
      <w:r>
        <w:rPr>
          <w:rStyle w:val="NormalTok"/>
        </w:rPr>
        <w:t xml:space="preserve">, </w:t>
      </w:r>
      <w:r>
        <w:rPr>
          <w:rStyle w:val="StringTok"/>
        </w:rPr>
        <w:t xml:space="preserve">"Influencer"</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w:t>
      </w:r>
      <w:r>
        <w:rPr>
          <w:rStyle w:val="AttributeTok"/>
        </w:rPr>
        <w:t xml:space="preserve">prefix =</w:t>
      </w:r>
      <w:r>
        <w:rPr>
          <w:rStyle w:val="NormalTok"/>
        </w:rPr>
        <w:t xml:space="preserve"> </w:t>
      </w:r>
      <w:r>
        <w:rPr>
          <w:rStyle w:val="StringTok"/>
        </w:rPr>
        <w:t xml:space="preserve">"€"</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w:t>
      </w:r>
      <w:r>
        <w:t xml:space="preserve"> </w:t>
      </w:r>
      <w:hyperlink w:anchor="sec-change">
        <w:r>
          <w:rPr>
            <w:rStyle w:val="Hyperlink"/>
          </w:rPr>
          <w:t xml:space="preserve">Section 3.5.2.5</w:t>
        </w:r>
      </w:hyperlink>
      <w:r>
        <w:t xml:space="preserve">).</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"ok"</w:t>
      </w:r>
      <w:r>
        <w:rPr>
          <w:rStyle w:val="NormalTok"/>
        </w:rPr>
        <w:t xml:space="preserve"> </w:t>
      </w:r>
      <w:r>
        <w:rPr>
          <w:rStyle w:val="OtherTok"/>
        </w:rPr>
        <w:t xml:space="preserve">=</w:t>
      </w:r>
      <w:r>
        <w:rPr>
          <w:rStyle w:val="NormalTok"/>
        </w:rPr>
        <w:t xml:space="preserve"> </w:t>
      </w:r>
      <w:r>
        <w:rPr>
          <w:rStyle w:val="StringTok"/>
        </w:rPr>
        <w:t xml:space="preserve">"#3082BD"</w:t>
      </w:r>
      <w:r>
        <w:rPr>
          <w:rStyle w:val="NormalTok"/>
        </w:rPr>
        <w:t xml:space="preserve">, </w:t>
      </w:r>
      <w:r>
        <w:rPr>
          <w:rStyle w:val="StringTok"/>
        </w:rPr>
        <w:t xml:space="preserve">"bad"</w:t>
      </w:r>
      <w:r>
        <w:rPr>
          <w:rStyle w:val="NormalTok"/>
        </w:rPr>
        <w:t xml:space="preserve"> </w:t>
      </w:r>
      <w:r>
        <w:rPr>
          <w:rStyle w:val="OtherTok"/>
        </w:rPr>
        <w:t xml:space="preserve">=</w:t>
      </w:r>
      <w:r>
        <w:rPr>
          <w:rStyle w:val="NormalTok"/>
        </w:rPr>
        <w:t xml:space="preserve"> </w:t>
      </w:r>
      <w:r>
        <w:rPr>
          <w:rStyle w:val="StringTok"/>
        </w:rPr>
        <w:t xml:space="preserve">"#CC0000"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AttributeTok"/>
        </w:rPr>
        <w:t xml:space="preserve">family=</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"#9ECAE2"</w:t>
      </w:r>
      <w:r>
        <w:rPr>
          <w:rStyle w:val="NormalTok"/>
        </w:rPr>
        <w:t xml:space="preserve">, </w:t>
      </w:r>
      <w:r>
        <w:rPr>
          <w:rStyle w:val="StringTok"/>
        </w:rPr>
        <w:t xml:space="preserve">"#07306B"</w:t>
      </w:r>
      <w:r>
        <w:rPr>
          <w:rStyle w:val="NormalTok"/>
        </w:rPr>
        <w:t xml:space="preserve">, </w:t>
      </w:r>
      <w:r>
        <w:rPr>
          <w:rStyle w:val="StringTok"/>
        </w:rPr>
        <w:t xml:space="preserve">"#3082BD"</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  </w:t>
      </w:r>
      <w:r>
        <w:rPr>
          <w:rStyle w:val="AttributeTok"/>
        </w:rPr>
        <w:t xml:space="preserve">legend.text.size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grid.label.size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font.radar =</w:t>
      </w:r>
      <w:r>
        <w:rPr>
          <w:rStyle w:val="NormalTok"/>
        </w:rPr>
        <w:t xml:space="preserve"> </w:t>
      </w:r>
      <w:r>
        <w:rPr>
          <w:rStyle w:val="StringTok"/>
        </w:rPr>
        <w:t xml:space="preserve">"Roboto"</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w:t>
      </w:r>
      <w:r>
        <w:t xml:space="preserve"> </w:t>
      </w:r>
      <w:hyperlink w:anchor="sec-chall">
        <w:r>
          <w:rPr>
            <w:rStyle w:val="Hyperlink"/>
          </w:rPr>
          <w:t xml:space="preserve">Section 3.6</w:t>
        </w:r>
      </w:hyperlink>
      <w:r>
        <w:t xml:space="preserve">).</w:t>
      </w:r>
    </w:p>
    <w:bookmarkEnd w:id="136"/>
    <w:bookmarkStart w:id="145"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tbl>
      <w:tblPr>
        <w:tblStyle w:val="Table"/>
        <w:tblW w:type="pct" w:w="5000"/>
        <w:tblLayout w:type="fixed"/>
        <w:tblLook w:firstRow="0" w:lastRow="0" w:firstColumn="0" w:lastColumn="0" w:noHBand="0" w:noVBand="0" w:val="0000"/>
      </w:tblPr>
      <w:tblGrid>
        <w:gridCol w:w="7920"/>
      </w:tblGrid>
      <w:tr>
        <w:tc>
          <w:tcPr/>
          <w:bookmarkStart w:id="140" w:name="fig-c2-radar-static"/>
          <w:p>
            <w:pPr>
              <w:pStyle w:val="Compact"/>
              <w:jc w:val="center"/>
            </w:pPr>
            <w:r>
              <w:drawing>
                <wp:inline>
                  <wp:extent cx="5334000" cy="2881972"/>
                  <wp:effectExtent b="0" l="0" r="0" t="0"/>
                  <wp:docPr descr=""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81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Bubble chart</w:t>
            </w:r>
          </w:p>
          <w:bookmarkEnd w:id="140"/>
        </w:tc>
      </w:tr>
    </w:tbl>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tbl>
      <w:tblPr>
        <w:tblStyle w:val="Table"/>
        <w:tblW w:type="pct" w:w="5000"/>
        <w:tblLayout w:type="fixed"/>
        <w:tblLook w:firstRow="0" w:lastRow="0" w:firstColumn="0" w:lastColumn="0" w:noHBand="0" w:noVBand="0" w:val="0000"/>
      </w:tblPr>
      <w:tblGrid>
        <w:gridCol w:w="7920"/>
      </w:tblGrid>
      <w:tr>
        <w:tc>
          <w:tcPr/>
          <w:bookmarkStart w:id="144" w:name="fig-c2-radar-static"/>
          <w:p>
            <w:pPr>
              <w:pStyle w:val="Compact"/>
              <w:jc w:val="center"/>
            </w:pPr>
            <w:r>
              <w:drawing>
                <wp:inline>
                  <wp:extent cx="5334000" cy="2620536"/>
                  <wp:effectExtent b="0" l="0" r="0" t="0"/>
                  <wp:docPr descr="" title="" id="142" name="Picture"/>
                  <a:graphic>
                    <a:graphicData uri="http://schemas.openxmlformats.org/drawingml/2006/picture">
                      <pic:pic>
                        <pic:nvPicPr>
                          <pic:cNvPr descr="pics/C2/scattercluster.png" id="143" name="Picture"/>
                          <pic:cNvPicPr>
                            <a:picLocks noChangeArrowheads="1" noChangeAspect="1"/>
                          </pic:cNvPicPr>
                        </pic:nvPicPr>
                        <pic:blipFill>
                          <a:blip r:embed="rId141"/>
                          <a:stretch>
                            <a:fillRect/>
                          </a:stretch>
                        </pic:blipFill>
                        <pic:spPr bwMode="auto">
                          <a:xfrm>
                            <a:off x="0" y="0"/>
                            <a:ext cx="5334000" cy="26205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Scatter plot</w:t>
            </w:r>
          </w:p>
          <w:bookmarkEnd w:id="144"/>
        </w:tc>
      </w:tr>
    </w:tbl>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5"/>
    <w:bookmarkStart w:id="154" w:name="sec-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tbl>
      <w:tblPr>
        <w:tblStyle w:val="Table"/>
        <w:tblW w:type="pct" w:w="5000"/>
        <w:tblLayout w:type="fixed"/>
        <w:tblLook w:firstRow="0" w:lastRow="0" w:firstColumn="0" w:lastColumn="0" w:noHBand="0" w:noVBand="0" w:val="0000"/>
      </w:tblPr>
      <w:tblGrid>
        <w:gridCol w:w="7920"/>
      </w:tblGrid>
      <w:tr>
        <w:tc>
          <w:tcPr/>
          <w:bookmarkStart w:id="149" w:name="fig-c2-radar-static"/>
          <w:p>
            <w:pPr>
              <w:pStyle w:val="Compact"/>
              <w:jc w:val="center"/>
            </w:pPr>
            <w:r>
              <w:drawing>
                <wp:inline>
                  <wp:extent cx="5334000" cy="3184277"/>
                  <wp:effectExtent b="0" l="0" r="0" t="0"/>
                  <wp:docPr descr="" title="" id="147" name="Picture"/>
                  <a:graphic>
                    <a:graphicData uri="http://schemas.openxmlformats.org/drawingml/2006/picture">
                      <pic:pic>
                        <pic:nvPicPr>
                          <pic:cNvPr descr="pics/C2/line.png" id="148" name="Picture"/>
                          <pic:cNvPicPr>
                            <a:picLocks noChangeArrowheads="1" noChangeAspect="1"/>
                          </pic:cNvPicPr>
                        </pic:nvPicPr>
                        <pic:blipFill>
                          <a:blip r:embed="rId146"/>
                          <a:stretch>
                            <a:fillRect/>
                          </a:stretch>
                        </pic:blipFill>
                        <pic:spPr bwMode="auto">
                          <a:xfrm>
                            <a:off x="0" y="0"/>
                            <a:ext cx="5334000" cy="3184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Line graph</w:t>
            </w:r>
          </w:p>
          <w:bookmarkEnd w:id="149"/>
        </w:tc>
      </w:tr>
    </w:tbl>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tbl>
      <w:tblPr>
        <w:tblStyle w:val="Table"/>
        <w:tblW w:type="pct" w:w="5000"/>
        <w:tblLayout w:type="fixed"/>
        <w:tblLook w:firstRow="0" w:lastRow="0" w:firstColumn="0" w:lastColumn="0" w:noHBand="0" w:noVBand="0" w:val="0000"/>
      </w:tblPr>
      <w:tblGrid>
        <w:gridCol w:w="7920"/>
      </w:tblGrid>
      <w:tr>
        <w:tc>
          <w:tcPr/>
          <w:bookmarkStart w:id="153" w:name="fig-c2-radar-static"/>
          <w:p>
            <w:pPr>
              <w:pStyle w:val="Compact"/>
              <w:jc w:val="center"/>
            </w:pPr>
            <w:r>
              <w:drawing>
                <wp:inline>
                  <wp:extent cx="5334000" cy="2710831"/>
                  <wp:effectExtent b="0" l="0" r="0" t="0"/>
                  <wp:docPr descr="" title="" id="151" name="Picture"/>
                  <a:graphic>
                    <a:graphicData uri="http://schemas.openxmlformats.org/drawingml/2006/picture">
                      <pic:pic>
                        <pic:nvPicPr>
                          <pic:cNvPr descr="pics/C2/columnchart.png" id="152" name="Picture"/>
                          <pic:cNvPicPr>
                            <a:picLocks noChangeArrowheads="1" noChangeAspect="1"/>
                          </pic:cNvPicPr>
                        </pic:nvPicPr>
                        <pic:blipFill>
                          <a:blip r:embed="rId150"/>
                          <a:stretch>
                            <a:fillRect/>
                          </a:stretch>
                        </pic:blipFill>
                        <pic:spPr bwMode="auto">
                          <a:xfrm>
                            <a:off x="0" y="0"/>
                            <a:ext cx="5334000" cy="2710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Column chart</w:t>
            </w:r>
          </w:p>
          <w:bookmarkEnd w:id="153"/>
        </w:tc>
      </w:tr>
    </w:tbl>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4"/>
    <w:bookmarkStart w:id="163"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tbl>
      <w:tblPr>
        <w:tblStyle w:val="Table"/>
        <w:tblW w:type="pct" w:w="5000"/>
        <w:tblLayout w:type="fixed"/>
        <w:tblLook w:firstRow="0" w:lastRow="0" w:firstColumn="0" w:lastColumn="0" w:noHBand="0" w:noVBand="0" w:val="0000"/>
      </w:tblPr>
      <w:tblGrid>
        <w:gridCol w:w="7920"/>
      </w:tblGrid>
      <w:tr>
        <w:tc>
          <w:tcPr/>
          <w:bookmarkStart w:id="158" w:name="fig-c2-radar-static"/>
          <w:p>
            <w:pPr>
              <w:pStyle w:val="Compact"/>
              <w:jc w:val="center"/>
            </w:pPr>
            <w:r>
              <w:drawing>
                <wp:inline>
                  <wp:extent cx="5334000" cy="2986019"/>
                  <wp:effectExtent b="0" l="0" r="0" t="0"/>
                  <wp:docPr descr="" title="" id="156" name="Picture"/>
                  <a:graphic>
                    <a:graphicData uri="http://schemas.openxmlformats.org/drawingml/2006/picture">
                      <pic:pic>
                        <pic:nvPicPr>
                          <pic:cNvPr descr="pics/C2/corrscp2.png" id="157" name="Picture"/>
                          <pic:cNvPicPr>
                            <a:picLocks noChangeArrowheads="1" noChangeAspect="1"/>
                          </pic:cNvPicPr>
                        </pic:nvPicPr>
                        <pic:blipFill>
                          <a:blip r:embed="rId155"/>
                          <a:stretch>
                            <a:fillRect/>
                          </a:stretch>
                        </pic:blipFill>
                        <pic:spPr bwMode="auto">
                          <a:xfrm>
                            <a:off x="0" y="0"/>
                            <a:ext cx="5334000" cy="29860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Scatter plot</w:t>
            </w:r>
          </w:p>
          <w:bookmarkEnd w:id="1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2" w:name="fig-c2-radar-static"/>
          <w:p>
            <w:pPr>
              <w:pStyle w:val="Compact"/>
              <w:jc w:val="center"/>
            </w:pPr>
            <w:r>
              <w:drawing>
                <wp:inline>
                  <wp:extent cx="5334000" cy="3032104"/>
                  <wp:effectExtent b="0" l="0" r="0" t="0"/>
                  <wp:docPr descr="" title="" id="160" name="Picture"/>
                  <a:graphic>
                    <a:graphicData uri="http://schemas.openxmlformats.org/drawingml/2006/picture">
                      <pic:pic>
                        <pic:nvPicPr>
                          <pic:cNvPr descr="pics/C2/corrscp1.png" id="161" name="Picture"/>
                          <pic:cNvPicPr>
                            <a:picLocks noChangeArrowheads="1" noChangeAspect="1"/>
                          </pic:cNvPicPr>
                        </pic:nvPicPr>
                        <pic:blipFill>
                          <a:blip r:embed="rId159"/>
                          <a:stretch>
                            <a:fillRect/>
                          </a:stretch>
                        </pic:blipFill>
                        <pic:spPr bwMode="auto">
                          <a:xfrm>
                            <a:off x="0" y="0"/>
                            <a:ext cx="5334000" cy="30321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Scatter plot</w:t>
            </w:r>
          </w:p>
          <w:bookmarkEnd w:id="162"/>
        </w:tc>
      </w:tr>
    </w:tbl>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63"/>
    <w:bookmarkEnd w:id="164"/>
    <w:bookmarkStart w:id="183" w:name="sec-stats"/>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77" w:name="descriptive-statistics"/>
    <w:p>
      <w:pPr>
        <w:pStyle w:val="Heading4"/>
      </w:pPr>
      <w:r>
        <w:t xml:space="preserve">3.5.3.1 Descriptive statistics</w:t>
      </w:r>
    </w:p>
    <w:bookmarkStart w:id="165"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p>
    <w:bookmarkEnd w:id="165"/>
    <w:bookmarkStart w:id="166"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p>
    <w:p>
      <w:pPr>
        <w:pStyle w:val="BodyText"/>
      </w:pPr>
      <w:r>
        <w:t xml:space="preserve">Measures of variation (range, variance, standard deviation) do more than just describe data spread; they have practical relevance for data-driven decision-making:</w:t>
      </w:r>
    </w:p>
    <w:p>
      <w:pPr>
        <w:numPr>
          <w:ilvl w:val="0"/>
          <w:numId w:val="1026"/>
        </w:numPr>
      </w:pPr>
      <w:r>
        <w:t xml:space="preserve">Risk and uncertainty: A high variance or standard deviation in sales forecasts, for example, alerts you to potential volatility. This helps a business decide whether to keep a buffer of inventory, expand safety stock, or take out insurance on price fluctuations.</w:t>
      </w:r>
    </w:p>
    <w:p>
      <w:pPr>
        <w:numPr>
          <w:ilvl w:val="0"/>
          <w:numId w:val="1026"/>
        </w:numPr>
      </w:pPr>
      <w:r>
        <w:t xml:space="preserve">Reliability of averages: If the mean is 50 but the standard deviation is large, it means your data values are scattered widely around that mean. A</w:t>
      </w:r>
      <w:r>
        <w:t xml:space="preserve"> </w:t>
      </w:r>
      <w:r>
        <w:t xml:space="preserve">“typical”</w:t>
      </w:r>
      <w:r>
        <w:t xml:space="preserve"> </w:t>
      </w:r>
      <w:r>
        <w:t xml:space="preserve">value is then less representative. Managers can’t blindly rely on the average if performance swings wildly.</w:t>
      </w:r>
    </w:p>
    <w:p>
      <w:pPr>
        <w:numPr>
          <w:ilvl w:val="0"/>
          <w:numId w:val="1026"/>
        </w:numPr>
      </w:pPr>
      <w:r>
        <w:t xml:space="preserve">Resource allocation: When project costs, labor hours, or production output vary substantially, the business may adopt more conservative budgeting or scheduling. Understanding variation helps allocate resources more effectively and anticipate spikes or dips.</w:t>
      </w:r>
    </w:p>
    <w:p>
      <w:pPr>
        <w:numPr>
          <w:ilvl w:val="0"/>
          <w:numId w:val="1026"/>
        </w:numPr>
      </w:pPr>
      <w:r>
        <w:t xml:space="preserve">Identifying patterns and outliers: While the average might mask interesting details, measures of variation show you whether data points are clustered or spread out. A suddenly larger-than-usual spread can flag data quality issues or changing market conditions that warrant deeper investigation.</w:t>
      </w:r>
    </w:p>
    <w:p>
      <w:pPr>
        <w:numPr>
          <w:ilvl w:val="0"/>
          <w:numId w:val="1026"/>
        </w:numPr>
      </w:pPr>
      <w:r>
        <w:t xml:space="preserve">Planning and forecasting: Stable (low-variance) processes can be forecasted more reliably. Where the standard deviation is large, you know to proceed with caution—or invest in better predictive methods.</w:t>
      </w:r>
    </w:p>
    <w:p>
      <w:pPr>
        <w:pStyle w:val="FirstParagraph"/>
      </w:pPr>
      <w:r>
        <w:t xml:space="preserve">By integrating measures of variation into your initial data exploration, you gain a clearer picture of how much confidence (or uncertainty) you should place in averages, projections, and other core metrics. Below you find the standard R code to compute mean, median, mode, range, variance, and standard deviation of a variable.</w:t>
      </w:r>
    </w:p>
    <w:p>
      <w:pPr>
        <w:pStyle w:val="SourceCode"/>
      </w:pPr>
      <w:r>
        <w:rPr>
          <w:rStyle w:val="CommentTok"/>
        </w:rPr>
        <w:t xml:space="preserve"># Example R codes to display mean, median, mode, range, variance, standard deviation of a variable</w:t>
      </w:r>
      <w:r>
        <w:br/>
      </w:r>
      <w:r>
        <w:br/>
      </w:r>
      <w:r>
        <w:rPr>
          <w:rStyle w:val="CommentTok"/>
        </w:rPr>
        <w:t xml:space="preserve"># x &lt;- c(4, 7, 9, 3, 5, 6, 4, 9, 7)</w:t>
      </w:r>
      <w:r>
        <w:br/>
      </w:r>
      <w:r>
        <w:br/>
      </w:r>
      <w:r>
        <w:rPr>
          <w:rStyle w:val="CommentTok"/>
        </w:rPr>
        <w:t xml:space="preserve"># Mean</w:t>
      </w:r>
      <w:r>
        <w:br/>
      </w:r>
      <w:r>
        <w:rPr>
          <w:rStyle w:val="CommentTok"/>
        </w:rPr>
        <w:t xml:space="preserve"># mean(x)</w:t>
      </w:r>
      <w:r>
        <w:br/>
      </w:r>
      <w:r>
        <w:br/>
      </w:r>
      <w:r>
        <w:rPr>
          <w:rStyle w:val="CommentTok"/>
        </w:rPr>
        <w:t xml:space="preserve"># Median</w:t>
      </w:r>
      <w:r>
        <w:br/>
      </w:r>
      <w:r>
        <w:rPr>
          <w:rStyle w:val="CommentTok"/>
        </w:rPr>
        <w:t xml:space="preserve"># median(x)</w:t>
      </w:r>
      <w:r>
        <w:br/>
      </w:r>
      <w:r>
        <w:br/>
      </w:r>
      <w:r>
        <w:rPr>
          <w:rStyle w:val="CommentTok"/>
        </w:rPr>
        <w:t xml:space="preserve"># Mode (most frequent value)</w:t>
      </w:r>
      <w:r>
        <w:br/>
      </w:r>
      <w:r>
        <w:rPr>
          <w:rStyle w:val="CommentTok"/>
        </w:rPr>
        <w:t xml:space="preserve"># mode_value &lt;- names(sort(table(x), decreasing = TRUE))[1]</w:t>
      </w:r>
      <w:r>
        <w:br/>
      </w:r>
      <w:r>
        <w:rPr>
          <w:rStyle w:val="CommentTok"/>
        </w:rPr>
        <w:t xml:space="preserve"># mode_value</w:t>
      </w:r>
      <w:r>
        <w:br/>
      </w:r>
      <w:r>
        <w:br/>
      </w:r>
      <w:r>
        <w:rPr>
          <w:rStyle w:val="CommentTok"/>
        </w:rPr>
        <w:t xml:space="preserve"># Range (returns min and max)</w:t>
      </w:r>
      <w:r>
        <w:br/>
      </w:r>
      <w:r>
        <w:rPr>
          <w:rStyle w:val="CommentTok"/>
        </w:rPr>
        <w:t xml:space="preserve"># range(x)</w:t>
      </w:r>
      <w:r>
        <w:br/>
      </w:r>
      <w:r>
        <w:br/>
      </w:r>
      <w:r>
        <w:rPr>
          <w:rStyle w:val="CommentTok"/>
        </w:rPr>
        <w:t xml:space="preserve"># Range as a single number (max - min)</w:t>
      </w:r>
      <w:r>
        <w:br/>
      </w:r>
      <w:r>
        <w:rPr>
          <w:rStyle w:val="CommentTok"/>
        </w:rPr>
        <w:t xml:space="preserve"># diff(range(x))</w:t>
      </w:r>
      <w:r>
        <w:br/>
      </w:r>
      <w:r>
        <w:br/>
      </w:r>
      <w:r>
        <w:rPr>
          <w:rStyle w:val="CommentTok"/>
        </w:rPr>
        <w:t xml:space="preserve"># Variance</w:t>
      </w:r>
      <w:r>
        <w:br/>
      </w:r>
      <w:r>
        <w:rPr>
          <w:rStyle w:val="CommentTok"/>
        </w:rPr>
        <w:t xml:space="preserve"># var(x)</w:t>
      </w:r>
      <w:r>
        <w:br/>
      </w:r>
      <w:r>
        <w:br/>
      </w:r>
      <w:r>
        <w:rPr>
          <w:rStyle w:val="CommentTok"/>
        </w:rPr>
        <w:t xml:space="preserve"># Standard Deviation</w:t>
      </w:r>
      <w:r>
        <w:br/>
      </w:r>
      <w:r>
        <w:rPr>
          <w:rStyle w:val="CommentTok"/>
        </w:rPr>
        <w:t xml:space="preserve"># sd(x)</w:t>
      </w:r>
      <w:r>
        <w:br/>
      </w:r>
      <w:r>
        <w:br/>
      </w:r>
      <w:r>
        <w:rPr>
          <w:rStyle w:val="CommentTok"/>
        </w:rPr>
        <w:t xml:space="preserve"># Minimum</w:t>
      </w:r>
      <w:r>
        <w:br/>
      </w:r>
      <w:r>
        <w:rPr>
          <w:rStyle w:val="CommentTok"/>
        </w:rPr>
        <w:t xml:space="preserve"># min(x)</w:t>
      </w:r>
      <w:r>
        <w:br/>
      </w:r>
      <w:r>
        <w:br/>
      </w:r>
      <w:r>
        <w:rPr>
          <w:rStyle w:val="CommentTok"/>
        </w:rPr>
        <w:t xml:space="preserve"># Maximum</w:t>
      </w:r>
      <w:r>
        <w:br/>
      </w:r>
      <w:r>
        <w:rPr>
          <w:rStyle w:val="CommentTok"/>
        </w:rPr>
        <w:t xml:space="preserve"># max(x)</w:t>
      </w:r>
      <w:r>
        <w:br/>
      </w:r>
      <w:r>
        <w:br/>
      </w:r>
      <w:r>
        <w:rPr>
          <w:rStyle w:val="CommentTok"/>
        </w:rPr>
        <w:t xml:space="preserve"># Summary of all basic stats</w:t>
      </w:r>
      <w:r>
        <w:br/>
      </w:r>
      <w:r>
        <w:rPr>
          <w:rStyle w:val="CommentTok"/>
        </w:rPr>
        <w:t xml:space="preserve"># summary(x)</w:t>
      </w:r>
    </w:p>
    <w:bookmarkEnd w:id="166"/>
    <w:bookmarkStart w:id="175"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tbl>
      <w:tblPr>
        <w:tblStyle w:val="Table"/>
        <w:tblW w:type="pct" w:w="5000"/>
        <w:tblLayout w:type="fixed"/>
        <w:tblLook w:firstRow="0" w:lastRow="0" w:firstColumn="0" w:lastColumn="0" w:noHBand="0" w:noVBand="0" w:val="0000"/>
      </w:tblPr>
      <w:tblGrid>
        <w:gridCol w:w="7920"/>
      </w:tblGrid>
      <w:tr>
        <w:tc>
          <w:tcPr/>
          <w:bookmarkStart w:id="170" w:name="fig-c2-radar-static"/>
          <w:p>
            <w:pPr>
              <w:pStyle w:val="Compact"/>
              <w:jc w:val="center"/>
            </w:pPr>
            <w:r>
              <w:drawing>
                <wp:inline>
                  <wp:extent cx="5334000" cy="2278712"/>
                  <wp:effectExtent b="0" l="0" r="0" t="0"/>
                  <wp:docPr descr="" title="" id="168" name="Picture"/>
                  <a:graphic>
                    <a:graphicData uri="http://schemas.openxmlformats.org/drawingml/2006/picture">
                      <pic:pic>
                        <pic:nvPicPr>
                          <pic:cNvPr descr="pics/C2/skewness.png" id="169" name="Picture"/>
                          <pic:cNvPicPr>
                            <a:picLocks noChangeArrowheads="1" noChangeAspect="1"/>
                          </pic:cNvPicPr>
                        </pic:nvPicPr>
                        <pic:blipFill>
                          <a:blip r:embed="rId167"/>
                          <a:stretch>
                            <a:fillRect/>
                          </a:stretch>
                        </pic:blipFill>
                        <pic:spPr bwMode="auto">
                          <a:xfrm>
                            <a:off x="0" y="0"/>
                            <a:ext cx="5334000" cy="22787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Skewness</w:t>
            </w:r>
          </w:p>
          <w:bookmarkEnd w:id="170"/>
        </w:tc>
      </w:tr>
    </w:tbl>
    <w:p>
      <w:pPr>
        <w:pStyle w:val="BodyText"/>
      </w:pPr>
      <w:r>
        <w:t xml:space="preserve">Source: https://www.biologyforlife.com/skew.html</w:t>
      </w:r>
      <w:r>
        <w:t xml:space="preserve"> </w:t>
      </w:r>
    </w:p>
    <w:p>
      <w:pPr>
        <w:pStyle w:val="BodyText"/>
      </w:pPr>
      <w:r>
        <w:t xml:space="preserve">Skewness is often measured using the coefficient of skewness, whose calculation we leave to our favorite program.</w:t>
      </w:r>
    </w:p>
    <w:p>
      <w:pPr>
        <w:pStyle w:val="BodyText"/>
      </w:pPr>
      <w:r>
        <w:t xml:space="preserve">If the coefficient of skewness is positive, the dataset is positively skewed, while if it is negative, the dataset is negatively skewed. If it is zero, the dataset is normally distributed. A rule of thumb states the following:</w:t>
      </w:r>
    </w:p>
    <w:p>
      <w:pPr>
        <w:pStyle w:val="Compact"/>
        <w:numPr>
          <w:ilvl w:val="0"/>
          <w:numId w:val="1027"/>
        </w:numPr>
      </w:pPr>
      <w:r>
        <w:t xml:space="preserve">If skewness is less than −1 or greater than +1, the distribution is highly skewed.</w:t>
      </w:r>
    </w:p>
    <w:p>
      <w:pPr>
        <w:pStyle w:val="Compact"/>
        <w:numPr>
          <w:ilvl w:val="0"/>
          <w:numId w:val="1027"/>
        </w:numPr>
      </w:pPr>
      <w:r>
        <w:t xml:space="preserve">If skewness is between −1 and −.5 or between +.5 and +1, the distribution is moderately skewed.</w:t>
      </w:r>
    </w:p>
    <w:p>
      <w:pPr>
        <w:pStyle w:val="Compact"/>
        <w:numPr>
          <w:ilvl w:val="0"/>
          <w:numId w:val="1027"/>
        </w:numPr>
      </w:pPr>
      <w:r>
        <w:t xml:space="preserve">If skewness is between −.5 and +.5, the distribution is approximately symmetrical.</w:t>
      </w:r>
    </w:p>
    <w:p>
      <w:pPr>
        <w:pStyle w:val="FirstParagraph"/>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highlight how a dataset’s shape deviates from a perfect bell curve. These details can also reveal extremes that basic averages overlook. For example, a strong right skew might mean most sales are moderate but occasionally spike, something you should look into. A high kurtosis indicates heavier tails, alerting you to a higher likelihood of rare, for example, costly events. Below the R code as well.</w:t>
      </w:r>
    </w:p>
    <w:p>
      <w:pPr>
        <w:pStyle w:val="SourceCode"/>
      </w:pPr>
      <w:r>
        <w:rPr>
          <w:rStyle w:val="CommentTok"/>
        </w:rPr>
        <w:t xml:space="preserve"># Example R codes to display skewness and kurtosis of a variable</w:t>
      </w:r>
      <w:r>
        <w:br/>
      </w:r>
      <w:r>
        <w:br/>
      </w:r>
      <w:r>
        <w:rPr>
          <w:rStyle w:val="CommentTok"/>
        </w:rPr>
        <w:t xml:space="preserve"># x &lt;- c(4, 7, 9, 3, 5, 6, 4, 9, 7)</w:t>
      </w:r>
      <w:r>
        <w:br/>
      </w:r>
      <w:r>
        <w:br/>
      </w:r>
      <w:r>
        <w:rPr>
          <w:rStyle w:val="CommentTok"/>
        </w:rPr>
        <w:t xml:space="preserve"># Install the e1071 package if not already installed</w:t>
      </w:r>
      <w:r>
        <w:br/>
      </w:r>
      <w:r>
        <w:rPr>
          <w:rStyle w:val="CommentTok"/>
        </w:rPr>
        <w:t xml:space="preserve"># install.packages("e1071")</w:t>
      </w:r>
      <w:r>
        <w:br/>
      </w:r>
      <w:r>
        <w:br/>
      </w:r>
      <w:r>
        <w:rPr>
          <w:rStyle w:val="CommentTok"/>
        </w:rPr>
        <w:t xml:space="preserve"># Load the e1071 package</w:t>
      </w:r>
      <w:r>
        <w:br/>
      </w:r>
      <w:r>
        <w:rPr>
          <w:rStyle w:val="CommentTok"/>
        </w:rPr>
        <w:t xml:space="preserve"># library(e1071)</w:t>
      </w:r>
      <w:r>
        <w:br/>
      </w:r>
      <w:r>
        <w:br/>
      </w:r>
      <w:r>
        <w:rPr>
          <w:rStyle w:val="CommentTok"/>
        </w:rPr>
        <w:t xml:space="preserve"># Skewness (measure of asymmetry)</w:t>
      </w:r>
      <w:r>
        <w:br/>
      </w:r>
      <w:r>
        <w:rPr>
          <w:rStyle w:val="CommentTok"/>
        </w:rPr>
        <w:t xml:space="preserve"># skewness(x)</w:t>
      </w:r>
      <w:r>
        <w:br/>
      </w:r>
      <w:r>
        <w:br/>
      </w:r>
      <w:r>
        <w:rPr>
          <w:rStyle w:val="CommentTok"/>
        </w:rPr>
        <w:t xml:space="preserve"># Kurtosis (measure of the "tailedness")</w:t>
      </w:r>
      <w:r>
        <w:br/>
      </w:r>
      <w:r>
        <w:rPr>
          <w:rStyle w:val="CommentTok"/>
        </w:rPr>
        <w:t xml:space="preserve"># kurtosis(x)</w:t>
      </w:r>
    </w:p>
    <w:tbl>
      <w:tblPr>
        <w:tblStyle w:val="Table"/>
        <w:tblW w:type="pct" w:w="5000"/>
        <w:tblLayout w:type="fixed"/>
        <w:tblLook w:firstRow="0" w:lastRow="0" w:firstColumn="0" w:lastColumn="0" w:noHBand="0" w:noVBand="0" w:val="0000"/>
      </w:tblPr>
      <w:tblGrid>
        <w:gridCol w:w="7920"/>
      </w:tblGrid>
      <w:tr>
        <w:tc>
          <w:tcPr/>
          <w:bookmarkStart w:id="174" w:name="fig-c2-radar-static"/>
          <w:p>
            <w:pPr>
              <w:pStyle w:val="Compact"/>
              <w:jc w:val="center"/>
            </w:pPr>
            <w:r>
              <w:drawing>
                <wp:inline>
                  <wp:extent cx="5073161" cy="2857500"/>
                  <wp:effectExtent b="0" l="0" r="0" t="0"/>
                  <wp:docPr descr="" title="" id="172" name="Picture"/>
                  <a:graphic>
                    <a:graphicData uri="http://schemas.openxmlformats.org/drawingml/2006/picture">
                      <pic:pic>
                        <pic:nvPicPr>
                          <pic:cNvPr descr="pics/C2/kurtosis.png" id="173" name="Picture"/>
                          <pic:cNvPicPr>
                            <a:picLocks noChangeArrowheads="1" noChangeAspect="1"/>
                          </pic:cNvPicPr>
                        </pic:nvPicPr>
                        <pic:blipFill>
                          <a:blip r:embed="rId171"/>
                          <a:stretch>
                            <a:fillRect/>
                          </a:stretch>
                        </pic:blipFill>
                        <pic:spPr bwMode="auto">
                          <a:xfrm>
                            <a:off x="0" y="0"/>
                            <a:ext cx="50731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Kurtosis</w:t>
            </w:r>
          </w:p>
          <w:bookmarkEnd w:id="174"/>
        </w:tc>
      </w:tr>
    </w:tbl>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w:t>
      </w:r>
    </w:p>
    <w:bookmarkEnd w:id="175"/>
    <w:bookmarkStart w:id="176" w:name="sec-outlier"/>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the typical threshold for the Z-score is usually |Z| &gt; 2 or |Z| &gt; 3.</w:t>
      </w:r>
    </w:p>
    <w:p>
      <w:pPr>
        <w:pStyle w:val="BodyText"/>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pStyle w:val="BodyText"/>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p>
      <w:pPr>
        <w:pStyle w:val="BodyText"/>
      </w:pPr>
      <w:r>
        <w:t xml:space="preserve">See the R codes for the Z-score and IQR below.</w:t>
      </w:r>
    </w:p>
    <w:p>
      <w:pPr>
        <w:pStyle w:val="SourceCode"/>
      </w:pPr>
      <w:r>
        <w:rPr>
          <w:rStyle w:val="CommentTok"/>
        </w:rPr>
        <w:t xml:space="preserve"># Example R codes to display Z-score and IQR of a variable</w:t>
      </w:r>
      <w:r>
        <w:br/>
      </w:r>
      <w:r>
        <w:br/>
      </w:r>
      <w:r>
        <w:rPr>
          <w:rStyle w:val="CommentTok"/>
        </w:rPr>
        <w:t xml:space="preserve"># x &lt;- c(4, 7, 9, 3, 5, 6, 4, 9, 7)</w:t>
      </w:r>
      <w:r>
        <w:br/>
      </w:r>
      <w:r>
        <w:br/>
      </w:r>
      <w:r>
        <w:rPr>
          <w:rStyle w:val="CommentTok"/>
        </w:rPr>
        <w:t xml:space="preserve"># Z-scores</w:t>
      </w:r>
      <w:r>
        <w:br/>
      </w:r>
      <w:r>
        <w:rPr>
          <w:rStyle w:val="CommentTok"/>
        </w:rPr>
        <w:t xml:space="preserve"># z_scores &lt;- (x - mean(x)) / sd(x)</w:t>
      </w:r>
      <w:r>
        <w:br/>
      </w:r>
      <w:r>
        <w:rPr>
          <w:rStyle w:val="CommentTok"/>
        </w:rPr>
        <w:t xml:space="preserve"># z_scores</w:t>
      </w:r>
      <w:r>
        <w:br/>
      </w:r>
      <w:r>
        <w:br/>
      </w:r>
      <w:r>
        <w:rPr>
          <w:rStyle w:val="CommentTok"/>
        </w:rPr>
        <w:t xml:space="preserve"># Compute quartiles</w:t>
      </w:r>
      <w:r>
        <w:br/>
      </w:r>
      <w:r>
        <w:rPr>
          <w:rStyle w:val="CommentTok"/>
        </w:rPr>
        <w:t xml:space="preserve"># Q1 &lt;- quantile(x, 0.25)</w:t>
      </w:r>
      <w:r>
        <w:br/>
      </w:r>
      <w:r>
        <w:rPr>
          <w:rStyle w:val="CommentTok"/>
        </w:rPr>
        <w:t xml:space="preserve"># Q3 &lt;- quantile(x, 0.75)</w:t>
      </w:r>
      <w:r>
        <w:br/>
      </w:r>
      <w:r>
        <w:br/>
      </w:r>
      <w:r>
        <w:rPr>
          <w:rStyle w:val="CommentTok"/>
        </w:rPr>
        <w:t xml:space="preserve"># Compute IQR</w:t>
      </w:r>
      <w:r>
        <w:br/>
      </w:r>
      <w:r>
        <w:rPr>
          <w:rStyle w:val="CommentTok"/>
        </w:rPr>
        <w:t xml:space="preserve"># IQR_value &lt;- IQR(x)</w:t>
      </w:r>
      <w:r>
        <w:br/>
      </w:r>
      <w:r>
        <w:br/>
      </w:r>
      <w:r>
        <w:rPr>
          <w:rStyle w:val="CommentTok"/>
        </w:rPr>
        <w:t xml:space="preserve"># Compute lower and upper bounds</w:t>
      </w:r>
      <w:r>
        <w:br/>
      </w:r>
      <w:r>
        <w:rPr>
          <w:rStyle w:val="CommentTok"/>
        </w:rPr>
        <w:t xml:space="preserve"># lower_bound &lt;- Q1 - 1.5 * IQR_value</w:t>
      </w:r>
      <w:r>
        <w:br/>
      </w:r>
      <w:r>
        <w:rPr>
          <w:rStyle w:val="CommentTok"/>
        </w:rPr>
        <w:t xml:space="preserve"># upper_bound &lt;- Q3 + 1.5 * IQR_value</w:t>
      </w:r>
      <w:r>
        <w:br/>
      </w:r>
      <w:r>
        <w:br/>
      </w:r>
      <w:r>
        <w:rPr>
          <w:rStyle w:val="CommentTok"/>
        </w:rPr>
        <w:t xml:space="preserve"># Identify outliers</w:t>
      </w:r>
      <w:r>
        <w:br/>
      </w:r>
      <w:r>
        <w:rPr>
          <w:rStyle w:val="CommentTok"/>
        </w:rPr>
        <w:t xml:space="preserve"># outliers &lt;- x[x &lt; lower_bound | x &gt; upper_bound]</w:t>
      </w:r>
      <w:r>
        <w:br/>
      </w:r>
      <w:r>
        <w:br/>
      </w:r>
      <w:r>
        <w:rPr>
          <w:rStyle w:val="CommentTok"/>
        </w:rPr>
        <w:t xml:space="preserve"># View results</w:t>
      </w:r>
      <w:r>
        <w:br/>
      </w:r>
      <w:r>
        <w:rPr>
          <w:rStyle w:val="CommentTok"/>
        </w:rPr>
        <w:t xml:space="preserve"># IQR_value</w:t>
      </w:r>
      <w:r>
        <w:br/>
      </w:r>
      <w:r>
        <w:rPr>
          <w:rStyle w:val="CommentTok"/>
        </w:rPr>
        <w:t xml:space="preserve"># lower_bound</w:t>
      </w:r>
      <w:r>
        <w:br/>
      </w:r>
      <w:r>
        <w:rPr>
          <w:rStyle w:val="CommentTok"/>
        </w:rPr>
        <w:t xml:space="preserve"># upper_bound</w:t>
      </w:r>
      <w:r>
        <w:br/>
      </w:r>
      <w:r>
        <w:rPr>
          <w:rStyle w:val="CommentTok"/>
        </w:rPr>
        <w:t xml:space="preserve"># outliers</w:t>
      </w:r>
    </w:p>
    <w:bookmarkEnd w:id="176"/>
    <w:bookmarkEnd w:id="177"/>
    <w:bookmarkStart w:id="182" w:name="sec-corranal"/>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p>
    <w:tbl>
      <w:tblPr>
        <w:tblStyle w:val="Table"/>
        <w:tblW w:type="pct" w:w="5000"/>
        <w:tblLayout w:type="fixed"/>
        <w:tblLook w:firstRow="0" w:lastRow="0" w:firstColumn="0" w:lastColumn="0" w:noHBand="0" w:noVBand="0" w:val="0000"/>
      </w:tblPr>
      <w:tblGrid>
        <w:gridCol w:w="7920"/>
      </w:tblGrid>
      <w:tr>
        <w:tc>
          <w:tcPr/>
          <w:bookmarkStart w:id="181" w:name="tbl-summary"/>
          <w:p>
            <w:pPr>
              <w:jc w:val="center"/>
            </w:pPr>
            <w:pPr>
              <w:jc w:val="start"/>
              <w:spacing w:before="200"/>
              <w:pStyle w:val="ImageCaption"/>
            </w:pPr>
            <w:r>
              <w:t xml:space="preserve">Table 3.1: Correlation coefficient</w:t>
            </w:r>
          </w:p>
          <w:p>
            <w:pPr>
              <w:pStyle w:val="Compact"/>
              <w:jc w:val="center"/>
            </w:pPr>
            <w:r>
              <w:drawing>
                <wp:inline>
                  <wp:extent cx="3759706" cy="4286250"/>
                  <wp:effectExtent b="0" l="0" r="0" t="0"/>
                  <wp:docPr descr="" title="" id="179" name="Picture"/>
                  <a:graphic>
                    <a:graphicData uri="http://schemas.openxmlformats.org/drawingml/2006/picture">
                      <pic:pic>
                        <pic:nvPicPr>
                          <pic:cNvPr descr="pics/C2/corrcoeff.png" id="180" name="Picture"/>
                          <pic:cNvPicPr>
                            <a:picLocks noChangeArrowheads="1" noChangeAspect="1"/>
                          </pic:cNvPicPr>
                        </pic:nvPicPr>
                        <pic:blipFill>
                          <a:blip r:embed="rId178"/>
                          <a:stretch>
                            <a:fillRect/>
                          </a:stretch>
                        </pic:blipFill>
                        <pic:spPr bwMode="auto">
                          <a:xfrm>
                            <a:off x="0" y="0"/>
                            <a:ext cx="3759706" cy="4286250"/>
                          </a:xfrm>
                          <a:prstGeom prst="rect">
                            <a:avLst/>
                          </a:prstGeom>
                          <a:noFill/>
                          <a:ln w="9525">
                            <a:noFill/>
                            <a:headEnd/>
                            <a:tailEnd/>
                          </a:ln>
                        </pic:spPr>
                      </pic:pic>
                    </a:graphicData>
                  </a:graphic>
                </wp:inline>
              </w:drawing>
            </w:r>
          </w:p>
          <w:bookmarkEnd w:id="181"/>
        </w:tc>
      </w:tr>
    </w:tbl>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8"/>
        </w:numPr>
      </w:pPr>
      <w:r>
        <w:t xml:space="preserve">r = 0: No linear relationship between the variables.</w:t>
      </w:r>
    </w:p>
    <w:p>
      <w:pPr>
        <w:pStyle w:val="Compact"/>
        <w:numPr>
          <w:ilvl w:val="0"/>
          <w:numId w:val="1028"/>
        </w:numPr>
      </w:pPr>
      <w:r>
        <w:t xml:space="preserve">0 &lt; |r| &lt; 0.3: A weak or negligible linear relationship.</w:t>
      </w:r>
    </w:p>
    <w:p>
      <w:pPr>
        <w:pStyle w:val="Compact"/>
        <w:numPr>
          <w:ilvl w:val="0"/>
          <w:numId w:val="1028"/>
        </w:numPr>
      </w:pPr>
      <w:r>
        <w:t xml:space="preserve">0.3 ≤ |r| &lt; 0.5: A moderate linear relationship.</w:t>
      </w:r>
    </w:p>
    <w:p>
      <w:pPr>
        <w:pStyle w:val="Compact"/>
        <w:numPr>
          <w:ilvl w:val="0"/>
          <w:numId w:val="1028"/>
        </w:numPr>
      </w:pPr>
      <w:r>
        <w:t xml:space="preserve">0.5 ≤ |r| &lt; 0.7: A strong linear relationship.</w:t>
      </w:r>
    </w:p>
    <w:p>
      <w:pPr>
        <w:pStyle w:val="Compact"/>
        <w:numPr>
          <w:ilvl w:val="0"/>
          <w:numId w:val="1028"/>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 - 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82"/>
    <w:bookmarkEnd w:id="183"/>
    <w:bookmarkEnd w:id="184"/>
    <w:bookmarkStart w:id="196" w:name="sec-chall"/>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89" w:name="sec-predval"/>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tbl>
      <w:tblPr>
        <w:tblStyle w:val="Table"/>
        <w:tblW w:type="pct" w:w="5000"/>
        <w:tblLayout w:type="fixed"/>
        <w:tblLook w:firstRow="0" w:lastRow="0" w:firstColumn="0" w:lastColumn="0" w:noHBand="0" w:noVBand="0" w:val="0000"/>
      </w:tblPr>
      <w:tblGrid>
        <w:gridCol w:w="7920"/>
      </w:tblGrid>
      <w:tr>
        <w:tc>
          <w:tcPr/>
          <w:bookmarkStart w:id="188" w:name="fig-c2-radar-static"/>
          <w:p>
            <w:pPr>
              <w:pStyle w:val="Compact"/>
              <w:jc w:val="center"/>
            </w:pPr>
            <w:r>
              <w:drawing>
                <wp:inline>
                  <wp:extent cx="5334000" cy="1480064"/>
                  <wp:effectExtent b="0" l="0" r="0" t="0"/>
                  <wp:docPr descr="" title="" id="186" name="Picture"/>
                  <a:graphic>
                    <a:graphicData uri="http://schemas.openxmlformats.org/drawingml/2006/picture">
                      <pic:pic>
                        <pic:nvPicPr>
                          <pic:cNvPr descr="pics/C2/pvf.png" id="187" name="Picture"/>
                          <pic:cNvPicPr>
                            <a:picLocks noChangeArrowheads="1" noChangeAspect="1"/>
                          </pic:cNvPicPr>
                        </pic:nvPicPr>
                        <pic:blipFill>
                          <a:blip r:embed="rId185"/>
                          <a:stretch>
                            <a:fillRect/>
                          </a:stretch>
                        </pic:blipFill>
                        <pic:spPr bwMode="auto">
                          <a:xfrm>
                            <a:off x="0" y="0"/>
                            <a:ext cx="5334000" cy="1480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Predictive validity framework</w:t>
            </w:r>
          </w:p>
          <w:bookmarkEnd w:id="188"/>
        </w:tc>
      </w:tr>
    </w:tbl>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 And if this is mostly measured in regulated industries, what does this say about the generalizability if you only cover those industries?</w:t>
      </w:r>
    </w:p>
    <w:p>
      <w:pPr>
        <w:pStyle w:val="BodyText"/>
      </w:pP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p>
    <w:p>
      <w:pPr>
        <w:pStyle w:val="Compact"/>
        <w:numPr>
          <w:ilvl w:val="0"/>
          <w:numId w:val="1029"/>
        </w:numPr>
      </w:pPr>
      <w:r>
        <w:t xml:space="preserve">Select variables carefully: Review internal/external data, industry benchmarks, and best practices to find variables strongly linked to the underlying construct.</w:t>
      </w:r>
    </w:p>
    <w:p>
      <w:pPr>
        <w:pStyle w:val="Compact"/>
        <w:numPr>
          <w:ilvl w:val="0"/>
          <w:numId w:val="1029"/>
        </w:numPr>
      </w:pPr>
      <w:r>
        <w:t xml:space="preserve">Use multiple proxies: Capturing different facets of the same concept reduces measurement error.</w:t>
      </w:r>
    </w:p>
    <w:p>
      <w:pPr>
        <w:pStyle w:val="Compact"/>
        <w:numPr>
          <w:ilvl w:val="0"/>
          <w:numId w:val="1029"/>
        </w:numPr>
      </w:pPr>
      <w:r>
        <w:t xml:space="preserve">Asses validity of measures: Check convergent validity (similar measures of the same underlying concept correlate) and discriminant validity (unrelated measures of different concepts should not correlate).</w:t>
      </w:r>
    </w:p>
    <w:p>
      <w:pPr>
        <w:pStyle w:val="Compact"/>
        <w:numPr>
          <w:ilvl w:val="0"/>
          <w:numId w:val="1029"/>
        </w:numPr>
      </w:pPr>
      <w:r>
        <w:t xml:space="preserve">Develop or adopt reliable instruments: Use established measurers, or develop tools which should be tested for internal consistency and stability over time.</w:t>
      </w:r>
    </w:p>
    <w:p>
      <w:pPr>
        <w:pStyle w:val="Compact"/>
        <w:numPr>
          <w:ilvl w:val="0"/>
          <w:numId w:val="1029"/>
        </w:numPr>
      </w:pPr>
      <w:r>
        <w:t xml:space="preserve">Choose a representative sample: Robust, diverse data can help ensure that the relationships observed between variables are robust and applicable to the wider business context.</w:t>
      </w:r>
    </w:p>
    <w:p>
      <w:pPr>
        <w:pStyle w:val="Compact"/>
        <w:numPr>
          <w:ilvl w:val="0"/>
          <w:numId w:val="1029"/>
        </w:numPr>
      </w:pPr>
      <w:r>
        <w:t xml:space="preserve">Control confounding variables: Identifying and accounting for confounding variables reduces spurious relationships (see</w:t>
      </w:r>
      <w:r>
        <w:t xml:space="preserve"> </w:t>
      </w:r>
      <w:hyperlink w:anchor="sec-corranal">
        <w:r>
          <w:rPr>
            <w:rStyle w:val="Hyperlink"/>
          </w:rPr>
          <w:t xml:space="preserve">Section 3.5.3.2</w:t>
        </w:r>
      </w:hyperlink>
      <w:r>
        <w:t xml:space="preserve">) and increase validity (more details in</w:t>
      </w:r>
      <w:r>
        <w:t xml:space="preserve"> </w:t>
      </w:r>
      <w:hyperlink w:anchor="sec-diag">
        <w:r>
          <w:rPr>
            <w:rStyle w:val="Hyperlink"/>
          </w:rPr>
          <w:t xml:space="preserve">Chapter 4</w:t>
        </w:r>
      </w:hyperlink>
      <w:r>
        <w:t xml:space="preserve">).</w:t>
      </w:r>
    </w:p>
    <w:p>
      <w:pPr>
        <w:pStyle w:val="Compact"/>
        <w:numPr>
          <w:ilvl w:val="0"/>
          <w:numId w:val="1029"/>
        </w:numPr>
      </w:pPr>
      <w:r>
        <w:t xml:space="preserve">Reassess regularly: Update measures as new research emerges or business environments shift.</w:t>
      </w:r>
    </w:p>
    <w:bookmarkEnd w:id="189"/>
    <w:bookmarkStart w:id="19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shopping habits, time stamp of each shop visit, amount spent per shopping trip,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Compact"/>
        <w:numPr>
          <w:ilvl w:val="0"/>
          <w:numId w:val="1030"/>
        </w:numPr>
      </w:pPr>
      <w:r>
        <w:t xml:space="preserve">Narrow the focus: Identify exactly which information needs to be extracted from unstructured data, ensuring targeted and relevant preprocessing efforts.</w:t>
      </w:r>
    </w:p>
    <w:p>
      <w:pPr>
        <w:pStyle w:val="Compact"/>
        <w:numPr>
          <w:ilvl w:val="0"/>
          <w:numId w:val="1030"/>
        </w:numPr>
      </w:pPr>
      <w:r>
        <w:t xml:space="preserve">Use specialized tools: Employ natural language processing (NLP) for text, image recognition for visual data, or signal processing for audio to extract key features effectively.</w:t>
      </w:r>
    </w:p>
    <w:p>
      <w:pPr>
        <w:pStyle w:val="Compact"/>
        <w:numPr>
          <w:ilvl w:val="0"/>
          <w:numId w:val="1030"/>
        </w:numPr>
      </w:pPr>
      <w:r>
        <w:t xml:space="preserve">Reduce dimensionality: Apply techniques like principal component analysis (PCA) or feature selection to structured data, and use topic modeling or autoencoders for unstructured data to handle high-dimensional datasets.</w:t>
      </w:r>
    </w:p>
    <w:bookmarkEnd w:id="190"/>
    <w:bookmarkStart w:id="19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w:t>
      </w:r>
    </w:p>
    <w:p>
      <w:pPr>
        <w:pStyle w:val="Compact"/>
        <w:numPr>
          <w:ilvl w:val="0"/>
          <w:numId w:val="1031"/>
        </w:numPr>
      </w:pPr>
      <w:r>
        <w:t xml:space="preserve">Clean and preprocess first: Conduct thorough data cleaning (e.g., removing duplicates, correcting errors) before any analysis to ensure higher-quality results.</w:t>
      </w:r>
    </w:p>
    <w:p>
      <w:pPr>
        <w:pStyle w:val="Compact"/>
        <w:numPr>
          <w:ilvl w:val="0"/>
          <w:numId w:val="1031"/>
        </w:numPr>
      </w:pPr>
      <w:r>
        <w:t xml:space="preserve">Validate and verify data: Cross-check sources, review data collection methods, and confirm authenticity to reduce errors and improve reliability.</w:t>
      </w:r>
    </w:p>
    <w:p>
      <w:pPr>
        <w:pStyle w:val="Compact"/>
        <w:numPr>
          <w:ilvl w:val="0"/>
          <w:numId w:val="1031"/>
        </w:numPr>
      </w:pPr>
      <w:r>
        <w:t xml:space="preserve">Combine multiple sources: Merge datasets to fill gaps and uncover hidden patterns. Always check compatibility and quality before merging.</w:t>
      </w:r>
    </w:p>
    <w:p>
      <w:pPr>
        <w:pStyle w:val="Compact"/>
        <w:numPr>
          <w:ilvl w:val="0"/>
          <w:numId w:val="1031"/>
        </w:numPr>
      </w:pPr>
      <w:r>
        <w:t xml:space="preserve">Keep data up-to-date: Regularly refresh sources - via automated feeds or scheduled updates - to ensure analyses remain accurate.</w:t>
      </w:r>
    </w:p>
    <w:p>
      <w:pPr>
        <w:pStyle w:val="Compact"/>
        <w:numPr>
          <w:ilvl w:val="0"/>
          <w:numId w:val="1031"/>
        </w:numPr>
      </w:pPr>
      <w:r>
        <w:t xml:space="preserve">Explore alternatives for inaccessible data: Use proxy variables or alternative datasets if original sources are not available, but confirm they are valid and relevant to your analysis context (see also</w:t>
      </w:r>
      <w:r>
        <w:t xml:space="preserve"> </w:t>
      </w:r>
      <w:hyperlink w:anchor="sec-predval">
        <w:r>
          <w:rPr>
            <w:rStyle w:val="Hyperlink"/>
          </w:rPr>
          <w:t xml:space="preserve">Section 3.6.1</w:t>
        </w:r>
      </w:hyperlink>
      <w:r>
        <w:t xml:space="preserve">).</w:t>
      </w:r>
    </w:p>
    <w:bookmarkEnd w:id="191"/>
    <w:bookmarkStart w:id="19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w:t>
      </w:r>
    </w:p>
    <w:p>
      <w:pPr>
        <w:pStyle w:val="Compact"/>
        <w:numPr>
          <w:ilvl w:val="0"/>
          <w:numId w:val="1032"/>
        </w:numPr>
      </w:pPr>
      <w:r>
        <w:t xml:space="preserve">Standardize formats and encodings: Establish a consistent data formatting and encoding policy to prevent unreadable text or mismatched data values, simplifying the cleaning process and reducing errors during transformation.</w:t>
      </w:r>
    </w:p>
    <w:p>
      <w:pPr>
        <w:pStyle w:val="Compact"/>
        <w:numPr>
          <w:ilvl w:val="0"/>
          <w:numId w:val="1032"/>
        </w:numPr>
      </w:pPr>
      <w:r>
        <w:t xml:space="preserve">Automate data cleaning: Use scripts or specialized tools to detect and fix inconsistencies, missing values, or errors. Automation saves time and minimizes human error, making data preparation more efficient.</w:t>
      </w:r>
    </w:p>
    <w:p>
      <w:pPr>
        <w:pStyle w:val="Compact"/>
        <w:numPr>
          <w:ilvl w:val="0"/>
          <w:numId w:val="1032"/>
        </w:numPr>
      </w:pPr>
      <w:r>
        <w:t xml:space="preserve">Focus on high-impact issues: Prioritize critical data problems that significantly influence pattern identification. Address these first to protect key insights, and defer lower-priority items if resources are limited.</w:t>
      </w:r>
    </w:p>
    <w:p>
      <w:pPr>
        <w:pStyle w:val="Compact"/>
        <w:numPr>
          <w:ilvl w:val="0"/>
          <w:numId w:val="1032"/>
        </w:numPr>
      </w:pPr>
      <w:r>
        <w:t xml:space="preserve">Collaborate with stakeholders: Work with data providers and other parties to define clear data quality standards. Tackling errors at the source accelerates pattern discovery and avoids time-consuming downstream fixes.</w:t>
      </w:r>
    </w:p>
    <w:p>
      <w:pPr>
        <w:pStyle w:val="Compact"/>
        <w:numPr>
          <w:ilvl w:val="0"/>
          <w:numId w:val="1032"/>
        </w:numPr>
      </w:pPr>
      <w:r>
        <w:t xml:space="preserve">Invest in training: Equip your team with skills in data quality, cleaning, and validation. Building in-house expertise boosts efficiency, enabling quicker and more accurate insights from your data.</w:t>
      </w:r>
    </w:p>
    <w:bookmarkEnd w:id="192"/>
    <w:bookmarkStart w:id="19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generally</w:t>
      </w:r>
      <w:r>
        <w:t xml:space="preserve"> </w:t>
      </w:r>
      <w:r>
        <w:rPr>
          <w:b/>
          <w:bCs/>
        </w:rPr>
        <w:t xml:space="preserve">two types of noise</w:t>
      </w:r>
      <w:r>
        <w:t xml:space="preserve"> </w:t>
      </w:r>
      <w:r>
        <w:t xml:space="preserve">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often due to a flawed or biased measurement.</w:t>
      </w:r>
    </w:p>
    <w:p>
      <w:pPr>
        <w:pStyle w:val="BodyText"/>
      </w:pPr>
      <w:r>
        <w:rPr>
          <w:b/>
          <w:bCs/>
        </w:rPr>
        <w:t xml:space="preserve">Sources of noise</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w:t>
      </w:r>
    </w:p>
    <w:p>
      <w:pPr>
        <w:pStyle w:val="BodyText"/>
      </w:pPr>
      <w:r>
        <w:rPr>
          <w:b/>
          <w:bCs/>
        </w:rPr>
        <w:t xml:space="preserve">Data entry errors</w:t>
      </w:r>
      <w:r>
        <w:t xml:space="preserve"> </w:t>
      </w:r>
      <w:r>
        <w:t xml:space="preserve">are mistakes that occur during the process of entering data into a computer or database. Data entry errors can cause inaccurate values or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Dealing with noisy data often requires additional preprocessing steps.</w:t>
      </w:r>
    </w:p>
    <w:p>
      <w:pPr>
        <w:pStyle w:val="Compact"/>
        <w:numPr>
          <w:ilvl w:val="0"/>
          <w:numId w:val="1033"/>
        </w:numPr>
      </w:pPr>
      <w:r>
        <w:t xml:space="preserve">One approach to managing noisy data is applying smoothing techniques such as moving averages, which help reduce the impact of random variations in the data.</w:t>
      </w:r>
    </w:p>
    <w:p>
      <w:pPr>
        <w:pStyle w:val="Compact"/>
        <w:numPr>
          <w:ilvl w:val="0"/>
          <w:numId w:val="1033"/>
        </w:numPr>
      </w:pPr>
      <w:r>
        <w:t xml:space="preserve">Outlier detection is another important aspect of handling noisy data (see previous sections for identification methods). If the outliers are due to measurement errors, data entry errors, or sampling error, then it may be appropriate to remove them from the dataset. In that case, the data points do not belong into the data. However, things are different when considering data points which are extreme, but real. Sometimes</w:t>
      </w:r>
      <w:r>
        <w:t xml:space="preserve"> </w:t>
      </w:r>
      <w:r>
        <w:rPr>
          <w:b/>
          <w:bCs/>
        </w:rPr>
        <w:t xml:space="preserve">outliers occur naturally</w:t>
      </w:r>
      <w:r>
        <w:t xml:space="preserve">, and are part of the population you are investigating. In this case, you should not remove the outlier, but handle it differently. 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 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Compact"/>
        <w:numPr>
          <w:ilvl w:val="0"/>
          <w:numId w:val="1033"/>
        </w:numPr>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93"/>
    <w:bookmarkStart w:id="19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w:t>
      </w:r>
    </w:p>
    <w:p>
      <w:pPr>
        <w:pStyle w:val="BodyText"/>
      </w:pPr>
      <w:r>
        <w:t xml:space="preserve">Imagine you have a dataset of monthly sales amounts ranging from €500 to €10,000, and the distribution is heavily skewed by a few very large values:</w:t>
      </w:r>
    </w:p>
    <w:p>
      <w:pPr>
        <w:numPr>
          <w:ilvl w:val="0"/>
          <w:numId w:val="1034"/>
        </w:numPr>
      </w:pPr>
      <w:r>
        <w:t xml:space="preserve">Normalization example (Log transform): Taking the log of each sales figure (e.g., log10(sales)) reduces the impact of extremely high values and pulls the distribution closer to a normal (bell-shaped) curve. The shape of the data changes: high sales numbers come down in scale more than smaller ones do, thus reducing skew.</w:t>
      </w:r>
    </w:p>
    <w:p>
      <w:pPr>
        <w:numPr>
          <w:ilvl w:val="0"/>
          <w:numId w:val="1034"/>
        </w:numPr>
      </w:pPr>
      <w:r>
        <w:t xml:space="preserve">Scaling example (Min-max scaling): Transform each sales value so the minimum becomes 0 and the maximum becomes 1, using a formula like</w:t>
      </w:r>
    </w:p>
    <w:p>
      <w:pPr>
        <w:numPr>
          <w:ilvl w:val="0"/>
          <w:numId w:val="1000"/>
        </w:numPr>
      </w:pPr>
      <w:r>
        <w:t xml:space="preserve">Scaled value = x−min(x) / max(x)−min(x)</w:t>
      </w:r>
    </w:p>
    <w:p>
      <w:pPr>
        <w:pStyle w:val="FirstParagraph"/>
      </w:pPr>
      <w:r>
        <w:t xml:space="preserve">Now every data point fits in the range [0, 1], but the overall shape - including how skewed the distribution is - remains the same; you have only adjusted the range.</w:t>
      </w:r>
    </w:p>
    <w:p>
      <w:pPr>
        <w:pStyle w:val="BodyText"/>
      </w:pPr>
      <w:r>
        <w:t xml:space="preserve">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94"/>
    <w:bookmarkStart w:id="19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95"/>
    <w:bookmarkEnd w:id="196"/>
    <w:bookmarkEnd w:id="197"/>
    <w:bookmarkStart w:id="261" w:name="sec-diag"/>
    <w:p>
      <w:pPr>
        <w:pStyle w:val="Heading1"/>
      </w:pPr>
      <w:r>
        <w:t xml:space="preserve">4. Diagnostic Analytics</w:t>
      </w:r>
    </w:p>
    <w:bookmarkStart w:id="198" w:name="learning-goals-2"/>
    <w:p>
      <w:pPr>
        <w:pStyle w:val="Heading2"/>
      </w:pPr>
      <w:r>
        <w:t xml:space="preserve">4.1 Learning goals</w:t>
      </w:r>
    </w:p>
    <w:p>
      <w:pPr>
        <w:pStyle w:val="Compact"/>
        <w:numPr>
          <w:ilvl w:val="0"/>
          <w:numId w:val="1035"/>
        </w:numPr>
      </w:pPr>
      <w:r>
        <w:t xml:space="preserve">Critically analyze identified data patterns</w:t>
      </w:r>
    </w:p>
    <w:p>
      <w:pPr>
        <w:pStyle w:val="Compact"/>
        <w:numPr>
          <w:ilvl w:val="0"/>
          <w:numId w:val="1035"/>
        </w:numPr>
      </w:pPr>
      <w:r>
        <w:t xml:space="preserve">Evaluate the association between important decision variables</w:t>
      </w:r>
    </w:p>
    <w:p>
      <w:pPr>
        <w:pStyle w:val="Compact"/>
        <w:numPr>
          <w:ilvl w:val="0"/>
          <w:numId w:val="1035"/>
        </w:numPr>
      </w:pPr>
      <w:r>
        <w:t xml:space="preserve">Evaluate business decisions and refine critical assumptions to improve decision-making by using advanced methods to analyze business data</w:t>
      </w:r>
    </w:p>
    <w:bookmarkEnd w:id="198"/>
    <w:bookmarkStart w:id="19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99"/>
    <w:bookmarkStart w:id="20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20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200"/>
    <w:bookmarkEnd w:id="201"/>
    <w:bookmarkStart w:id="21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205" w:name="fig-MM1"/>
          <w:p>
            <w:pPr>
              <w:pStyle w:val="Compact"/>
              <w:jc w:val="center"/>
            </w:pPr>
            <w:r>
              <w:drawing>
                <wp:inline>
                  <wp:extent cx="4633047" cy="3810000"/>
                  <wp:effectExtent b="0" l="0" r="0" t="0"/>
                  <wp:docPr descr="" title="" id="203" name="Picture"/>
                  <a:graphic>
                    <a:graphicData uri="http://schemas.openxmlformats.org/drawingml/2006/picture">
                      <pic:pic>
                        <pic:nvPicPr>
                          <pic:cNvPr descr="pics/C4/causal%20mental%20model.png" id="204" name="Picture"/>
                          <pic:cNvPicPr>
                            <a:picLocks noChangeArrowheads="1" noChangeAspect="1"/>
                          </pic:cNvPicPr>
                        </pic:nvPicPr>
                        <pic:blipFill>
                          <a:blip r:embed="rId20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20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6"/>
        </w:numPr>
      </w:pPr>
      <w:r>
        <w:t xml:space="preserve">Quality of customer support is negatively associated with customer churn (because better customer support quality makes customers happy, and they are less likely to leave).</w:t>
      </w:r>
    </w:p>
    <w:p>
      <w:pPr>
        <w:numPr>
          <w:ilvl w:val="0"/>
          <w:numId w:val="1036"/>
        </w:numPr>
      </w:pPr>
      <w:r>
        <w:t xml:space="preserve">Product quality is negatively associated with customer churn (because higher product quality makes customers happy, and they are less likely to leave).</w:t>
      </w:r>
    </w:p>
    <w:p>
      <w:pPr>
        <w:numPr>
          <w:ilvl w:val="0"/>
          <w:numId w:val="1036"/>
        </w:numPr>
      </w:pPr>
      <w:r>
        <w:t xml:space="preserve">Competitor offerings are positively associated with customer churn (because interesting offers from competitors might trigger our customers to switch to our competitors).</w:t>
      </w:r>
    </w:p>
    <w:p>
      <w:pPr>
        <w:numPr>
          <w:ilvl w:val="0"/>
          <w:numId w:val="1036"/>
        </w:numPr>
      </w:pPr>
      <w:r>
        <w:t xml:space="preserve">Price is positively associated with customer churn (because customers do not like to pay more, and they are more likely to leave).</w:t>
      </w:r>
    </w:p>
    <w:p>
      <w:pPr>
        <w:numPr>
          <w:ilvl w:val="0"/>
          <w:numId w:val="1036"/>
        </w:numPr>
      </w:pPr>
      <w:r>
        <w:t xml:space="preserve">Product quality is positively associated with price (because higher quality is usually costly, sales prices need to be higher as well).</w:t>
      </w:r>
    </w:p>
    <w:p>
      <w:pPr>
        <w:numPr>
          <w:ilvl w:val="0"/>
          <w:numId w:val="1036"/>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209" w:name="fig-MM2"/>
          <w:p>
            <w:pPr>
              <w:pStyle w:val="Compact"/>
              <w:jc w:val="center"/>
            </w:pPr>
            <w:r>
              <w:drawing>
                <wp:inline>
                  <wp:extent cx="5325340" cy="3333750"/>
                  <wp:effectExtent b="0" l="0" r="0" t="0"/>
                  <wp:docPr descr="" title="" id="207" name="Picture"/>
                  <a:graphic>
                    <a:graphicData uri="http://schemas.openxmlformats.org/drawingml/2006/picture">
                      <pic:pic>
                        <pic:nvPicPr>
                          <pic:cNvPr descr="pics/C4/mental%20model.png" id="208" name="Picture"/>
                          <pic:cNvPicPr>
                            <a:picLocks noChangeArrowheads="1" noChangeAspect="1"/>
                          </pic:cNvPicPr>
                        </pic:nvPicPr>
                        <pic:blipFill>
                          <a:blip r:embed="rId20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20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10"/>
    <w:bookmarkStart w:id="21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14" w:name="fig-rand1"/>
          <w:p>
            <w:pPr>
              <w:pStyle w:val="Compact"/>
              <w:jc w:val="center"/>
            </w:pPr>
            <w:r>
              <w:drawing>
                <wp:inline>
                  <wp:extent cx="4572000" cy="4572000"/>
                  <wp:effectExtent b="0" l="0" r="0" t="0"/>
                  <wp:docPr descr="" title="" id="212" name="Picture"/>
                  <a:graphic>
                    <a:graphicData uri="http://schemas.openxmlformats.org/drawingml/2006/picture">
                      <pic:pic>
                        <pic:nvPicPr>
                          <pic:cNvPr descr="diagnostics_files/figure-docx/fig-rand1-1.gif" id="213" name="Picture"/>
                          <pic:cNvPicPr>
                            <a:picLocks noChangeArrowheads="1" noChangeAspect="1"/>
                          </pic:cNvPicPr>
                        </pic:nvPicPr>
                        <pic:blipFill>
                          <a:blip r:embed="rId21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1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18" w:name="fig-rand2"/>
          <w:p>
            <w:pPr>
              <w:pStyle w:val="Compact"/>
              <w:jc w:val="center"/>
            </w:pPr>
            <w:r>
              <w:drawing>
                <wp:inline>
                  <wp:extent cx="4572000" cy="4572000"/>
                  <wp:effectExtent b="0" l="0" r="0" t="0"/>
                  <wp:docPr descr="" title="" id="216" name="Picture"/>
                  <a:graphic>
                    <a:graphicData uri="http://schemas.openxmlformats.org/drawingml/2006/picture">
                      <pic:pic>
                        <pic:nvPicPr>
                          <pic:cNvPr descr="diagnostics_files/figure-docx/fig-rand2-1.gif" id="217" name="Picture"/>
                          <pic:cNvPicPr>
                            <a:picLocks noChangeArrowheads="1" noChangeAspect="1"/>
                          </pic:cNvPicPr>
                        </pic:nvPicPr>
                        <pic:blipFill>
                          <a:blip r:embed="rId21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1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19"/>
    <w:bookmarkStart w:id="22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rand3"/>
          <w:p>
            <w:pPr>
              <w:pStyle w:val="Compact"/>
              <w:jc w:val="center"/>
            </w:pPr>
            <w:r>
              <w:drawing>
                <wp:inline>
                  <wp:extent cx="5334000" cy="3048000"/>
                  <wp:effectExtent b="0" l="0" r="0" t="0"/>
                  <wp:docPr descr="" title="" id="221" name="Picture"/>
                  <a:graphic>
                    <a:graphicData uri="http://schemas.openxmlformats.org/drawingml/2006/picture">
                      <pic:pic>
                        <pic:nvPicPr>
                          <pic:cNvPr descr="diagnostics_files/figure-docx/fig-rand3-1.png" id="222"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2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7"/>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7"/>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7"/>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7"/>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7"/>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24"/>
    <w:bookmarkStart w:id="24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2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2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8"/>
        </w:numPr>
      </w:pPr>
      <w:r>
        <w:t xml:space="preserve">H</w:t>
      </w:r>
      <m:oMath>
        <m:sSub>
          <m:e>
            <m:r>
              <m:t>​</m:t>
            </m:r>
          </m:e>
          <m:sub>
            <m:r>
              <m:t>0</m:t>
            </m:r>
          </m:sub>
        </m:sSub>
      </m:oMath>
      <w:r>
        <w:t xml:space="preserve">: There is no significant association between employee tenure and profit</w:t>
      </w:r>
    </w:p>
    <w:p>
      <w:pPr>
        <w:numPr>
          <w:ilvl w:val="0"/>
          <w:numId w:val="1038"/>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2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27">
        <w:r>
          <w:rPr>
            <w:rStyle w:val="Hyperlink"/>
          </w:rPr>
          <w:t xml:space="preserve">wikipedia graph</w:t>
        </w:r>
      </w:hyperlink>
      <w:r>
        <w:t xml:space="preserve">). If we are interested in that, we need to think about a regression model.</w:t>
      </w:r>
    </w:p>
    <w:bookmarkEnd w:id="228"/>
    <w:bookmarkStart w:id="23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32" w:name="fig-emp1"/>
          <w:p>
            <w:pPr>
              <w:pStyle w:val="Compact"/>
              <w:jc w:val="center"/>
            </w:pPr>
            <w:r>
              <w:drawing>
                <wp:inline>
                  <wp:extent cx="5334000" cy="3048000"/>
                  <wp:effectExtent b="0" l="0" r="0" t="0"/>
                  <wp:docPr descr="" title="" id="230" name="Picture"/>
                  <a:graphic>
                    <a:graphicData uri="http://schemas.openxmlformats.org/drawingml/2006/picture">
                      <pic:pic>
                        <pic:nvPicPr>
                          <pic:cNvPr descr="diagnostics_files/figure-docx/fig-emp1-1.png" id="231" name="Picture"/>
                          <pic:cNvPicPr>
                            <a:picLocks noChangeArrowheads="1" noChangeAspect="1"/>
                          </pic:cNvPicPr>
                        </pic:nvPicPr>
                        <pic:blipFill>
                          <a:blip r:embed="rId22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3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36" w:name="fig-excelreg"/>
          <w:p>
            <w:pPr>
              <w:pStyle w:val="Compact"/>
              <w:jc w:val="center"/>
            </w:pPr>
            <w:r>
              <w:drawing>
                <wp:inline>
                  <wp:extent cx="5334000" cy="1798320"/>
                  <wp:effectExtent b="0" l="0" r="0" t="0"/>
                  <wp:docPr descr="" title="" id="234" name="Picture"/>
                  <a:graphic>
                    <a:graphicData uri="http://schemas.openxmlformats.org/drawingml/2006/picture">
                      <pic:pic>
                        <pic:nvPicPr>
                          <pic:cNvPr descr="pics/C4/simple_reg.png" id="235" name="Picture"/>
                          <pic:cNvPicPr>
                            <a:picLocks noChangeArrowheads="1" noChangeAspect="1"/>
                          </pic:cNvPicPr>
                        </pic:nvPicPr>
                        <pic:blipFill>
                          <a:blip r:embed="rId23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3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37"/>
    <w:bookmarkStart w:id="24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9"/>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9"/>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3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42" w:name="fig-dag-rs"/>
          <w:p>
            <w:pPr>
              <w:pStyle w:val="Compact"/>
              <w:jc w:val="center"/>
            </w:pPr>
            <w:r>
              <w:drawing>
                <wp:inline>
                  <wp:extent cx="5334000" cy="3111500"/>
                  <wp:effectExtent b="0" l="0" r="0" t="0"/>
                  <wp:docPr descr="" title="" id="240" name="Picture"/>
                  <a:graphic>
                    <a:graphicData uri="http://schemas.openxmlformats.org/drawingml/2006/picture">
                      <pic:pic>
                        <pic:nvPicPr>
                          <pic:cNvPr descr="diagnostics_files/figure-docx/fig-dag-rs-1.png" id="241" name="Picture"/>
                          <pic:cNvPicPr>
                            <a:picLocks noChangeArrowheads="1" noChangeAspect="1"/>
                          </pic:cNvPicPr>
                        </pic:nvPicPr>
                        <pic:blipFill>
                          <a:blip r:embed="rId23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4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4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44"/>
    <w:bookmarkStart w:id="24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40"/>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40"/>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40"/>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40"/>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40"/>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45"/>
    <w:bookmarkStart w:id="24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4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47"/>
    <w:bookmarkEnd w:id="248"/>
    <w:bookmarkStart w:id="25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4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50"/>
    <w:bookmarkStart w:id="25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54" w:name="fig-logreg"/>
          <w:p>
            <w:pPr>
              <w:pStyle w:val="Compact"/>
              <w:jc w:val="center"/>
            </w:pPr>
            <w:r>
              <w:drawing>
                <wp:inline>
                  <wp:extent cx="5334000" cy="3111500"/>
                  <wp:effectExtent b="0" l="0" r="0" t="0"/>
                  <wp:docPr descr="" title="" id="252" name="Picture"/>
                  <a:graphic>
                    <a:graphicData uri="http://schemas.openxmlformats.org/drawingml/2006/picture">
                      <pic:pic>
                        <pic:nvPicPr>
                          <pic:cNvPr descr="diagnostics_files/figure-docx/fig-logreg-1.png" id="253" name="Picture"/>
                          <pic:cNvPicPr>
                            <a:picLocks noChangeArrowheads="1" noChangeAspect="1"/>
                          </pic:cNvPicPr>
                        </pic:nvPicPr>
                        <pic:blipFill>
                          <a:blip r:embed="rId25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5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58" w:name="fig-logreg2"/>
          <w:p>
            <w:pPr>
              <w:pStyle w:val="Compact"/>
              <w:jc w:val="center"/>
            </w:pPr>
            <w:r>
              <w:drawing>
                <wp:inline>
                  <wp:extent cx="5334000" cy="3111500"/>
                  <wp:effectExtent b="0" l="0" r="0" t="0"/>
                  <wp:docPr descr="" title="" id="256" name="Picture"/>
                  <a:graphic>
                    <a:graphicData uri="http://schemas.openxmlformats.org/drawingml/2006/picture">
                      <pic:pic>
                        <pic:nvPicPr>
                          <pic:cNvPr descr="diagnostics_files/figure-docx/fig-logreg2-1.png" id="257" name="Picture"/>
                          <pic:cNvPicPr>
                            <a:picLocks noChangeArrowheads="1" noChangeAspect="1"/>
                          </pic:cNvPicPr>
                        </pic:nvPicPr>
                        <pic:blipFill>
                          <a:blip r:embed="rId25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58"/>
        </w:tc>
      </w:tr>
    </w:tbl>
    <w:bookmarkEnd w:id="259"/>
    <w:bookmarkStart w:id="26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60"/>
    <w:bookmarkEnd w:id="261"/>
    <w:bookmarkStart w:id="316" w:name="sec-pred"/>
    <w:p>
      <w:pPr>
        <w:pStyle w:val="Heading1"/>
      </w:pPr>
      <w:r>
        <w:t xml:space="preserve">5. Predictive Analytics</w:t>
      </w:r>
    </w:p>
    <w:bookmarkStart w:id="262" w:name="learning-goals-3"/>
    <w:p>
      <w:pPr>
        <w:pStyle w:val="Heading2"/>
      </w:pPr>
      <w:r>
        <w:t xml:space="preserve">5.1 Learning goals</w:t>
      </w:r>
    </w:p>
    <w:p>
      <w:pPr>
        <w:pStyle w:val="Compact"/>
        <w:numPr>
          <w:ilvl w:val="0"/>
          <w:numId w:val="1041"/>
        </w:numPr>
      </w:pPr>
      <w:r>
        <w:t xml:space="preserve">Learn how to do principled data-based forecasting for decision making</w:t>
      </w:r>
    </w:p>
    <w:p>
      <w:pPr>
        <w:pStyle w:val="Compact"/>
        <w:numPr>
          <w:ilvl w:val="0"/>
          <w:numId w:val="1041"/>
        </w:numPr>
      </w:pPr>
      <w:r>
        <w:t xml:space="preserve">Evaluate a prediction models quality based on standard metrics and theory</w:t>
      </w:r>
    </w:p>
    <w:bookmarkEnd w:id="262"/>
    <w:bookmarkStart w:id="26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6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64"/>
    <w:bookmarkStart w:id="26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65"/>
    <w:bookmarkStart w:id="279" w:name="the-source-of-prediction-errors"/>
    <w:p>
      <w:pPr>
        <w:pStyle w:val="Heading2"/>
      </w:pPr>
      <w:r>
        <w:t xml:space="preserve">5.4 The source of prediction errors</w:t>
      </w:r>
    </w:p>
    <w:bookmarkStart w:id="27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69" w:name="fig-overfit"/>
          <w:p>
            <w:pPr>
              <w:pStyle w:val="Compact"/>
              <w:jc w:val="center"/>
            </w:pPr>
            <w:r>
              <w:drawing>
                <wp:inline>
                  <wp:extent cx="5334000" cy="2667000"/>
                  <wp:effectExtent b="0" l="0" r="0" t="0"/>
                  <wp:docPr descr="" title="" id="267" name="Picture"/>
                  <a:graphic>
                    <a:graphicData uri="http://schemas.openxmlformats.org/drawingml/2006/picture">
                      <pic:pic>
                        <pic:nvPicPr>
                          <pic:cNvPr descr="predictions_files/figure-docx/fig-overfit-1.gif"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6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73" w:name="fig-overfit2"/>
          <w:p>
            <w:pPr>
              <w:pStyle w:val="Compact"/>
              <w:jc w:val="center"/>
            </w:pPr>
            <w:r>
              <w:drawing>
                <wp:inline>
                  <wp:extent cx="5334000" cy="3516312"/>
                  <wp:effectExtent b="0" l="0" r="0" t="0"/>
                  <wp:docPr descr="" title="" id="271" name="Picture"/>
                  <a:graphic>
                    <a:graphicData uri="http://schemas.openxmlformats.org/drawingml/2006/picture">
                      <pic:pic>
                        <pic:nvPicPr>
                          <pic:cNvPr descr="predictions_files/figure-docx/fig-overfit2-1.png" id="272" name="Picture"/>
                          <pic:cNvPicPr>
                            <a:picLocks noChangeArrowheads="1" noChangeAspect="1"/>
                          </pic:cNvPicPr>
                        </pic:nvPicPr>
                        <pic:blipFill>
                          <a:blip r:embed="rId27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7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7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7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7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76"/>
    <w:bookmarkStart w:id="27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77"/>
    <w:bookmarkStart w:id="27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78"/>
    <w:bookmarkEnd w:id="279"/>
    <w:bookmarkStart w:id="291" w:name="assessing-prediction-performance"/>
    <w:p>
      <w:pPr>
        <w:pStyle w:val="Heading2"/>
      </w:pPr>
      <w:r>
        <w:t xml:space="preserve">5.5 Assessing prediction performance</w:t>
      </w:r>
    </w:p>
    <w:bookmarkStart w:id="28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8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8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8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8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84"/>
    <w:bookmarkStart w:id="28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88" w:name="fig-roccurve"/>
          <w:p>
            <w:pPr>
              <w:pStyle w:val="Compact"/>
              <w:jc w:val="center"/>
            </w:pPr>
            <w:r>
              <w:drawing>
                <wp:inline>
                  <wp:extent cx="4876800" cy="4876800"/>
                  <wp:effectExtent b="0" l="0" r="0" t="0"/>
                  <wp:docPr descr="" title="" id="286" name="Picture"/>
                  <a:graphic>
                    <a:graphicData uri="http://schemas.openxmlformats.org/drawingml/2006/picture">
                      <pic:pic>
                        <pic:nvPicPr>
                          <pic:cNvPr descr="predictions_files/figure-docx/fig-roccurve-1.png" id="287" name="Picture"/>
                          <pic:cNvPicPr>
                            <a:picLocks noChangeArrowheads="1" noChangeAspect="1"/>
                          </pic:cNvPicPr>
                        </pic:nvPicPr>
                        <pic:blipFill>
                          <a:blip r:embed="rId28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8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89"/>
    <w:bookmarkStart w:id="29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90"/>
    <w:bookmarkEnd w:id="291"/>
    <w:bookmarkStart w:id="314" w:name="a-full-prediction-example"/>
    <w:p>
      <w:pPr>
        <w:pStyle w:val="Heading2"/>
      </w:pPr>
      <w:r>
        <w:t xml:space="preserve">5.6 A full prediction example</w:t>
      </w:r>
    </w:p>
    <w:bookmarkStart w:id="29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5" w:name="fig-repairtime"/>
          <w:p>
            <w:pPr>
              <w:pStyle w:val="Compact"/>
              <w:jc w:val="center"/>
            </w:pPr>
            <w:r>
              <w:drawing>
                <wp:inline>
                  <wp:extent cx="5334000" cy="3556000"/>
                  <wp:effectExtent b="0" l="0" r="0" t="0"/>
                  <wp:docPr descr="" title="" id="293" name="Picture"/>
                  <a:graphic>
                    <a:graphicData uri="http://schemas.openxmlformats.org/drawingml/2006/picture">
                      <pic:pic>
                        <pic:nvPicPr>
                          <pic:cNvPr descr="predictions_files/figure-docx/fig-repairtime-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9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96"/>
    <w:bookmarkStart w:id="29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97"/>
    <w:bookmarkStart w:id="29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98"/>
    <w:bookmarkStart w:id="30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302" w:name="fig-fitchecking"/>
          <w:p>
            <w:pPr>
              <w:pStyle w:val="Compact"/>
              <w:jc w:val="center"/>
            </w:pPr>
            <w:r>
              <w:drawing>
                <wp:inline>
                  <wp:extent cx="5334000" cy="5334000"/>
                  <wp:effectExtent b="0" l="0" r="0" t="0"/>
                  <wp:docPr descr="" title="" id="300" name="Picture"/>
                  <a:graphic>
                    <a:graphicData uri="http://schemas.openxmlformats.org/drawingml/2006/picture">
                      <pic:pic>
                        <pic:nvPicPr>
                          <pic:cNvPr descr="predictions_files/figure-docx/fig-fitchecking-1.png" id="301"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30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303"/>
    <w:bookmarkStart w:id="30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307" w:name="fig-fitchecking2"/>
          <w:p>
            <w:pPr>
              <w:pStyle w:val="Compact"/>
              <w:jc w:val="center"/>
            </w:pPr>
            <w:r>
              <w:drawing>
                <wp:inline>
                  <wp:extent cx="5334000" cy="5334000"/>
                  <wp:effectExtent b="0" l="0" r="0" t="0"/>
                  <wp:docPr descr="" title="" id="305" name="Picture"/>
                  <a:graphic>
                    <a:graphicData uri="http://schemas.openxmlformats.org/drawingml/2006/picture">
                      <pic:pic>
                        <pic:nvPicPr>
                          <pic:cNvPr descr="predictions_files/figure-docx/fig-fitchecking2-1.png" id="306"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30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308"/>
    <w:bookmarkStart w:id="31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sumerr"/>
          <w:p>
            <w:pPr>
              <w:pStyle w:val="Compact"/>
              <w:jc w:val="center"/>
            </w:pPr>
            <w:r>
              <w:drawing>
                <wp:inline>
                  <wp:extent cx="5334000" cy="3556000"/>
                  <wp:effectExtent b="0" l="0" r="0" t="0"/>
                  <wp:docPr descr="" title="" id="310" name="Picture"/>
                  <a:graphic>
                    <a:graphicData uri="http://schemas.openxmlformats.org/drawingml/2006/picture">
                      <pic:pic>
                        <pic:nvPicPr>
                          <pic:cNvPr descr="predictions_files/figure-docx/fig-sumerr-1.png" id="311" name="Picture"/>
                          <pic:cNvPicPr>
                            <a:picLocks noChangeArrowheads="1" noChangeAspect="1"/>
                          </pic:cNvPicPr>
                        </pic:nvPicPr>
                        <pic:blipFill>
                          <a:blip r:embed="rId30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1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13"/>
    <w:bookmarkEnd w:id="314"/>
    <w:bookmarkStart w:id="31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15"/>
    <w:bookmarkEnd w:id="316"/>
    <w:bookmarkStart w:id="355" w:name="sec-reporting"/>
    <w:p>
      <w:pPr>
        <w:pStyle w:val="Heading1"/>
      </w:pPr>
      <w:r>
        <w:t xml:space="preserve">6. Reporting Design</w:t>
      </w:r>
    </w:p>
    <w:bookmarkStart w:id="317" w:name="learning-goals-4"/>
    <w:p>
      <w:pPr>
        <w:pStyle w:val="Heading2"/>
      </w:pPr>
      <w:r>
        <w:t xml:space="preserve">6.1 Learning goals</w:t>
      </w:r>
    </w:p>
    <w:p>
      <w:pPr>
        <w:pStyle w:val="Compact"/>
        <w:numPr>
          <w:ilvl w:val="0"/>
          <w:numId w:val="1042"/>
        </w:numPr>
      </w:pPr>
      <w:r>
        <w:t xml:space="preserve">Understand the importance of dashboards for reporting user-oriented results</w:t>
      </w:r>
    </w:p>
    <w:p>
      <w:pPr>
        <w:pStyle w:val="Compact"/>
        <w:numPr>
          <w:ilvl w:val="0"/>
          <w:numId w:val="1042"/>
        </w:numPr>
      </w:pPr>
      <w:r>
        <w:t xml:space="preserve">Apply dashboard design principles</w:t>
      </w:r>
    </w:p>
    <w:p>
      <w:pPr>
        <w:pStyle w:val="Compact"/>
        <w:numPr>
          <w:ilvl w:val="0"/>
          <w:numId w:val="1042"/>
        </w:numPr>
      </w:pPr>
      <w:r>
        <w:t xml:space="preserve">Evaluate the design of existing dashboards</w:t>
      </w:r>
    </w:p>
    <w:bookmarkEnd w:id="317"/>
    <w:bookmarkStart w:id="32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18" name="Picture"/>
            <a:graphic>
              <a:graphicData uri="http://schemas.openxmlformats.org/drawingml/2006/picture">
                <pic:pic>
                  <pic:nvPicPr>
                    <pic:cNvPr descr="pics/C2/2questions.png" id="31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20"/>
    <w:bookmarkStart w:id="32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22" name="Picture"/>
            <a:graphic>
              <a:graphicData uri="http://schemas.openxmlformats.org/drawingml/2006/picture">
                <pic:pic>
                  <pic:nvPicPr>
                    <pic:cNvPr descr="pics/C5/dashboard.png" id="323" name="Picture"/>
                    <pic:cNvPicPr>
                      <a:picLocks noChangeArrowheads="1" noChangeAspect="1"/>
                    </pic:cNvPicPr>
                  </pic:nvPicPr>
                  <pic:blipFill>
                    <a:blip r:embed="rId32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24"/>
    <w:bookmarkStart w:id="351" w:name="principles-of-effective-dashboard-design"/>
    <w:p>
      <w:pPr>
        <w:pStyle w:val="Heading2"/>
      </w:pPr>
      <w:r>
        <w:t xml:space="preserve">6.4 Principles of effective dashboard design</w:t>
      </w:r>
    </w:p>
    <w:bookmarkStart w:id="32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25"/>
    <w:bookmarkStart w:id="32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26"/>
    <w:bookmarkStart w:id="32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27"/>
    <w:bookmarkStart w:id="32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28"/>
    <w:bookmarkStart w:id="33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30" name="Picture"/>
            <a:graphic>
              <a:graphicData uri="http://schemas.openxmlformats.org/drawingml/2006/picture">
                <pic:pic>
                  <pic:nvPicPr>
                    <pic:cNvPr descr="pics/C5/charts.png" id="331" name="Picture"/>
                    <pic:cNvPicPr>
                      <a:picLocks noChangeArrowheads="1" noChangeAspect="1"/>
                    </pic:cNvPicPr>
                  </pic:nvPicPr>
                  <pic:blipFill>
                    <a:blip r:embed="rId32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32"/>
    <w:bookmarkStart w:id="34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3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33"/>
    <w:bookmarkStart w:id="34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35" name="Picture"/>
            <a:graphic>
              <a:graphicData uri="http://schemas.openxmlformats.org/drawingml/2006/picture">
                <pic:pic>
                  <pic:nvPicPr>
                    <pic:cNvPr descr="pics/C5/fpattern.png" id="336" name="Picture"/>
                    <pic:cNvPicPr>
                      <a:picLocks noChangeArrowheads="1" noChangeAspect="1"/>
                    </pic:cNvPicPr>
                  </pic:nvPicPr>
                  <pic:blipFill>
                    <a:blip r:embed="rId33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38" name="Picture"/>
            <a:graphic>
              <a:graphicData uri="http://schemas.openxmlformats.org/drawingml/2006/picture">
                <pic:pic>
                  <pic:nvPicPr>
                    <pic:cNvPr descr="pics/C5/zpattern.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40"/>
    <w:bookmarkStart w:id="34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41"/>
    <w:bookmarkStart w:id="34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42"/>
    <w:bookmarkStart w:id="34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44" name="Picture"/>
            <a:graphic>
              <a:graphicData uri="http://schemas.openxmlformats.org/drawingml/2006/picture">
                <pic:pic>
                  <pic:nvPicPr>
                    <pic:cNvPr descr="pics/C5/dashboard2.png" id="345" name="Picture"/>
                    <pic:cNvPicPr>
                      <a:picLocks noChangeArrowheads="1" noChangeAspect="1"/>
                    </pic:cNvPicPr>
                  </pic:nvPicPr>
                  <pic:blipFill>
                    <a:blip r:embed="rId34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43"/>
        </w:numPr>
      </w:pPr>
      <w:r>
        <w:t xml:space="preserve">In terms of positioning, it appears that we need to follow a column order, making us read top-down several times…irritating.</w:t>
      </w:r>
    </w:p>
    <w:p>
      <w:pPr>
        <w:pStyle w:val="Compact"/>
        <w:numPr>
          <w:ilvl w:val="0"/>
          <w:numId w:val="1043"/>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43"/>
        </w:numPr>
      </w:pPr>
      <w:r>
        <w:t xml:space="preserve">Apart from that, the chart on the left bottom does not seem to add any information value which makes is unnecessary in this dashboard.</w:t>
      </w:r>
    </w:p>
    <w:p>
      <w:pPr>
        <w:pStyle w:val="Compact"/>
        <w:numPr>
          <w:ilvl w:val="0"/>
          <w:numId w:val="1043"/>
        </w:numPr>
      </w:pPr>
      <w:r>
        <w:t xml:space="preserve">In addition, there is no clear visual hierarchy. But it may be that all items are equally important?</w:t>
      </w:r>
    </w:p>
    <w:p>
      <w:pPr>
        <w:pStyle w:val="Compact"/>
        <w:numPr>
          <w:ilvl w:val="0"/>
          <w:numId w:val="1043"/>
        </w:numPr>
      </w:pPr>
      <w:r>
        <w:t xml:space="preserve">Speaking about color, the dashboard uses many highly saturated colors, again making it difficult to focus.</w:t>
      </w:r>
    </w:p>
    <w:p>
      <w:pPr>
        <w:pStyle w:val="Compact"/>
        <w:numPr>
          <w:ilvl w:val="0"/>
          <w:numId w:val="1043"/>
        </w:numPr>
      </w:pPr>
      <w:r>
        <w:t xml:space="preserve">We are missing some benchmarks: e.g., is 96,5% on time delivery good or bad?</w:t>
      </w:r>
    </w:p>
    <w:p>
      <w:pPr>
        <w:pStyle w:val="Compact"/>
        <w:numPr>
          <w:ilvl w:val="0"/>
          <w:numId w:val="1043"/>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46"/>
    <w:bookmarkEnd w:id="347"/>
    <w:bookmarkStart w:id="34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48"/>
    <w:bookmarkStart w:id="34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49"/>
    <w:bookmarkStart w:id="35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50"/>
    <w:bookmarkEnd w:id="351"/>
    <w:bookmarkStart w:id="35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5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52"/>
    <w:bookmarkStart w:id="35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53"/>
    <w:bookmarkEnd w:id="354"/>
    <w:bookmarkEnd w:id="355"/>
    <w:bookmarkStart w:id="369" w:name="references"/>
    <w:p>
      <w:pPr>
        <w:pStyle w:val="Heading1"/>
      </w:pPr>
      <w:r>
        <w:t xml:space="preserve">References</w:t>
      </w:r>
    </w:p>
    <w:bookmarkStart w:id="368" w:name="refs"/>
    <w:bookmarkStart w:id="35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56"/>
    <w:bookmarkStart w:id="35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57"/>
    <w:bookmarkStart w:id="35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58"/>
    <w:bookmarkStart w:id="36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59">
        <w:r>
          <w:rPr>
            <w:rStyle w:val="Hyperlink"/>
          </w:rPr>
          <w:t xml:space="preserve">https://www.nature.com/articles/nature07634</w:t>
        </w:r>
      </w:hyperlink>
      <w:r>
        <w:t xml:space="preserve">.</w:t>
      </w:r>
    </w:p>
    <w:bookmarkEnd w:id="360"/>
    <w:bookmarkStart w:id="36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61">
        <w:r>
          <w:rPr>
            <w:rStyle w:val="Hyperlink"/>
          </w:rPr>
          <w:t xml:space="preserve">https://www.science.org/doi/full/10.1126/science.1248506</w:t>
        </w:r>
      </w:hyperlink>
      <w:r>
        <w:t xml:space="preserve">.</w:t>
      </w:r>
    </w:p>
    <w:bookmarkEnd w:id="362"/>
    <w:bookmarkStart w:id="36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63"/>
    <w:bookmarkStart w:id="36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64"/>
    <w:bookmarkStart w:id="36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65"/>
    <w:bookmarkStart w:id="36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66"/>
    <w:bookmarkStart w:id="36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67"/>
    <w:bookmarkEnd w:id="368"/>
    <w:bookmarkEnd w:id="3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2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2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3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4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4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49">
    <w:p>
      <w:pPr>
        <w:pStyle w:val="FootnoteText"/>
      </w:pPr>
      <w:r>
        <w:rPr>
          <w:rStyle w:val="FootnoteReference"/>
        </w:rPr>
        <w:footnoteRef/>
      </w:r>
      <w:r>
        <w:t xml:space="preserve"> </w:t>
      </w:r>
      <w:r>
        <w:t xml:space="preserve">There is also a model F-test, but we ignore that. It is rarely useful for model selection.</w:t>
      </w:r>
    </w:p>
  </w:footnote>
  <w:footnote w:id="26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7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11" Target="media/rId211.gif" /><Relationship Type="http://schemas.openxmlformats.org/officeDocument/2006/relationships/image" Id="rId215" Target="media/rId215.gif" /><Relationship Type="http://schemas.openxmlformats.org/officeDocument/2006/relationships/image" Id="rId220" Target="media/rId22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85" Target="media/rId185.png" /><Relationship Type="http://schemas.openxmlformats.org/officeDocument/2006/relationships/image" Id="rId141" Target="media/rId141.png" /><Relationship Type="http://schemas.openxmlformats.org/officeDocument/2006/relationships/image" Id="rId167" Target="media/rId16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66" Target="media/rId266.gif" /><Relationship Type="http://schemas.openxmlformats.org/officeDocument/2006/relationships/image" Id="rId270" Target="media/rId270.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9" Target="media/rId309.png" /><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2025-04-14T15:47:14Z</dcterms:created>
  <dcterms:modified xsi:type="dcterms:W3CDTF">2025-04-14T15:47:14Z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